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ybx-20251121.htm"/>
      <w:bookmarkStart w:id="1" w:name="kssybx20251121"/>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rPr/>
        <w:tc>
          <w:tcPr>
            <w:tcW w:w="58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21,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SYNLOGIC,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001-37566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26-1824804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 Box 30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Winchester,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01890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659-2802</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color w:val="000000"/>
          <w:sz w:val="20"/>
          <w:u w:val="single"/>
        </w:rPr>
        <w:t xml:space="preserve">see </w:t>
      </w:r>
      <w:r>
        <w:rPr>
          <w:rFonts w:ascii="Times New Roman" w:hAnsi="Times New Roman"/>
          <w:color w:val="000000"/>
          <w:sz w:val="20"/>
        </w:rPr>
        <w:t xml:space="preserve">General Instruction A.2. below): </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260" w:type="dxa"/>
        <w:jc w:val="left"/>
        <w:tblInd w:w="0" w:type="dxa"/>
        <w:tblLayout w:type="fixed"/>
        <w:tblCellMar>
          <w:top w:w="28" w:type="dxa"/>
          <w:left w:w="28" w:type="dxa"/>
          <w:bottom w:w="28" w:type="dxa"/>
          <w:right w:w="28" w:type="dxa"/>
        </w:tblCellMar>
      </w:tblPr>
      <w:tblGrid>
        <w:gridCol w:w="3196"/>
        <w:gridCol w:w="146"/>
        <w:gridCol w:w="946"/>
        <w:gridCol w:w="146"/>
        <w:gridCol w:w="382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SYBX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(17 CFR § 230.405) or Rule 12b-2 of the Securities Exchange Act of 1934 (17 CFR § 240.12b-2).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Item 3.01 Notice of Delisting or Failure to Satisfy a Continued Listing Rule or Standard; Transfer of Listing.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21, 2025, Synlogic, Inc. (the “Company”) received a letter (the “Notice”) from the Listing Qualifications Department (the “Staff”) of The Nasdaq Stock Market LLC (“Nasdaq”) that stated the Staff’s belief that the Company is a “public shell” and that, therefore, the continued listing of its securities is no longer warranted in the view of the Staff. In the Notice, the Staff explained that it based this belief on its review of the Company’s public disclosures and materials submitted to the Staff by the Company. In addition, the Staff noted its belief is supported by the Company’s lack of revenue generating assets and the substantial reduction in employees and operations since February 2024. The Staff also considered the Company’s quarterly reports on Forms 10-Q filed on May 8, 2025, August 7, 2025, and November 13, 2025, respectively, which indicated that the Company has not generated any revenue for the nine months ended 2025 and that the Company had research and development expenses of only $16,000. The Notice further advised that, unless the Company timely requests a hearing before a Hearings Panel (the “Panel”), it would be subject to suspension/delisting.</w:t>
      </w:r>
    </w:p>
    <w:p>
      <w:pPr>
        <w:pStyle w:val="TextBody"/>
        <w:bidi w:val="0"/>
        <w:jc w:val="both"/>
        <w:rPr>
          <w:rFonts w:ascii="Times New Roman" w:hAnsi="Times New Roman"/>
          <w:color w:val="000000"/>
          <w:sz w:val="20"/>
        </w:rPr>
      </w:pPr>
      <w:r>
        <w:rPr>
          <w:rFonts w:ascii="Times New Roman" w:hAnsi="Times New Roman"/>
          <w:color w:val="000000"/>
          <w:sz w:val="20"/>
        </w:rPr>
        <w:t>The Company disagrees with the Staff’s view regarding the Company’s status as a “public shell” and, accordingly, intends to timely request a hearing. The hearing request will automatically stay any suspension or delisting action pending the hearing and the expiration of any additional extension period that may be granted by the Panel following the hearing. However, there can be no assurance that the Company’s hearing will be successful, or that, if successful, the Company will be able to maintain compliance with all applicable listing criteria.</w:t>
      </w:r>
    </w:p>
    <w:p>
      <w:pPr>
        <w:pStyle w:val="TextBody"/>
        <w:bidi w:val="0"/>
        <w:jc w:val="both"/>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Forward Looking Statements</w:t>
      </w:r>
    </w:p>
    <w:p>
      <w:pPr>
        <w:pStyle w:val="TextBody"/>
        <w:bidi w:val="0"/>
        <w:jc w:val="both"/>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federal and state securities laws. Such statements can be identified by words such as “will likely result,” “expect,” “anticipate,” “estimate,” “believe,” “intend,” “plan,” “project,” “outlook,” “should,” “could,” “may” or words of similar meaning and include, but are not limited to, statements regarding our future business and financial performance and prospects, including our expectations regarding the transactions described in this Current Report on Form 8-K.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included in such forward-looking statements. Investors are cautioned not to place undue reliance on the forward-looking statements in this Current Report on Form 8-K, which information set forth herein speaks only as of the date hereof. The Company does not undertake, and it expressly disclaims, any intention or obligation to update any forward-looking statements made in this Current Report on Form 8-K, whether as a result of new information, future events or otherwise, except as required by law. A list and description of risks, uncertainties and other factors that could cause or contribute to differences in the Company’s results can be found in its filings with the SEC, including its most recent Annual Report on Form 10-K and subsequent filings. The Company qualifies all of its forward-looking statements by these cautionary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7772" w:type="dxa"/>
        <w:jc w:val="left"/>
        <w:tblInd w:w="0" w:type="dxa"/>
        <w:tblLayout w:type="fixed"/>
        <w:tblCellMar>
          <w:top w:w="28" w:type="dxa"/>
          <w:left w:w="28" w:type="dxa"/>
          <w:bottom w:w="28" w:type="dxa"/>
          <w:right w:w="28" w:type="dxa"/>
        </w:tblCellMar>
      </w:tblPr>
      <w:tblGrid>
        <w:gridCol w:w="1178"/>
        <w:gridCol w:w="1072"/>
        <w:gridCol w:w="631"/>
        <w:gridCol w:w="4891"/>
      </w:tblGrid>
      <w:tr>
        <w:trPr/>
        <w:tc>
          <w:tcPr>
            <w:tcW w:w="117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r>
      <w:tr>
        <w:trPr/>
        <w:tc>
          <w:tcPr>
            <w:tcW w:w="22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November 26, 2025 </w:t>
            </w:r>
          </w:p>
        </w:tc>
        <w:tc>
          <w:tcPr>
            <w:tcW w:w="552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Synlogic, Inc.</w:t>
            </w:r>
          </w:p>
          <w:p>
            <w:pPr>
              <w:pStyle w:val="TableContents"/>
              <w:bidi w:val="0"/>
              <w:spacing w:before="0" w:after="283"/>
              <w:jc w:val="left"/>
              <w:rPr/>
            </w:pPr>
            <w:r>
              <w:rPr/>
              <w:t> </w:t>
            </w:r>
          </w:p>
        </w:tc>
      </w:tr>
      <w:tr>
        <w:trPr/>
        <w:tc>
          <w:tcPr>
            <w:tcW w:w="1178" w:type="dxa"/>
            <w:tcBorders/>
            <w:tcMar>
              <w:top w:w="0" w:type="dxa"/>
              <w:left w:w="0" w:type="dxa"/>
              <w:bottom w:w="0" w:type="dxa"/>
              <w:right w:w="0" w:type="dxa"/>
            </w:tcMar>
            <w:vAlign w:val="center"/>
          </w:tcPr>
          <w:p>
            <w:pPr>
              <w:pStyle w:val="TableContents"/>
              <w:bidi w:val="0"/>
              <w:spacing w:before="86" w:after="283"/>
              <w:jc w:val="left"/>
              <w:rPr/>
            </w:pPr>
            <w:r>
              <w:rPr/>
              <w:t> </w:t>
            </w:r>
          </w:p>
        </w:tc>
        <w:tc>
          <w:tcPr>
            <w:tcW w:w="1072" w:type="dxa"/>
            <w:tcBorders/>
            <w:tcMar>
              <w:top w:w="0" w:type="dxa"/>
              <w:left w:w="0" w:type="dxa"/>
              <w:bottom w:w="0" w:type="dxa"/>
              <w:right w:w="0" w:type="dxa"/>
            </w:tcMar>
            <w:vAlign w:val="center"/>
          </w:tcPr>
          <w:p>
            <w:pPr>
              <w:pStyle w:val="TableContents"/>
              <w:bidi w:val="0"/>
              <w:spacing w:before="86" w:after="283"/>
              <w:jc w:val="left"/>
              <w:rPr/>
            </w:pPr>
            <w:r>
              <w:rPr/>
              <w:t> </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By:</w:t>
            </w:r>
          </w:p>
        </w:tc>
        <w:tc>
          <w:tcPr>
            <w:tcW w:w="489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Mary Beth Dooley</w:t>
            </w:r>
          </w:p>
        </w:tc>
      </w:tr>
      <w:tr>
        <w:trPr/>
        <w:tc>
          <w:tcPr>
            <w:tcW w:w="1178" w:type="dxa"/>
            <w:tcBorders/>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Beth Dooley</w:t>
              <w:br/>
              <w:t>Principal Executive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916</Words>
  <Characters>5073</Characters>
  <CharactersWithSpaces>5984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