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ybx-20251231.htm"/>
      <w:bookmarkStart w:id="1" w:name="kssybx20251231"/>
      <w:bookmarkEnd w:id="0"/>
      <w:bookmarkEnd w:id="1"/>
      <w:r>
        <w:rPr>
          <w:rFonts w:ascii="Times New Roman" w:hAnsi="Times New Roman"/>
          <w:color w:val="000000"/>
          <w:sz w:val="2"/>
        </w:rPr>
        <w:t>Ot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f</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9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001-37566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SYNLOGIC,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26-1824804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PO Box</w:t>
            </w:r>
            <w:r>
              <w:rPr>
                <w:rFonts w:ascii="Times New Roman" w:hAnsi="Times New Roman"/>
                <w:color w:val="000000"/>
                <w:sz w:val="20"/>
              </w:rPr>
              <w:t xml:space="preserve"> </w:t>
            </w:r>
            <w:r>
              <w:rPr>
                <w:rFonts w:ascii="Times New Roman" w:hAnsi="Times New Roman"/>
                <w:b/>
                <w:color w:val="000000"/>
                <w:sz w:val="18"/>
              </w:rPr>
              <w:t>30</w:t>
            </w:r>
          </w:p>
          <w:p>
            <w:pPr>
              <w:pStyle w:val="TableContents"/>
              <w:bidi w:val="0"/>
              <w:spacing w:before="0" w:after="20"/>
              <w:jc w:val="center"/>
              <w:rPr>
                <w:rFonts w:ascii="Times New Roman" w:hAnsi="Times New Roman"/>
                <w:sz w:val="20"/>
              </w:rPr>
            </w:pPr>
            <w:r>
              <w:rPr>
                <w:rFonts w:ascii="Times New Roman" w:hAnsi="Times New Roman"/>
                <w:b/>
                <w:color w:val="000000"/>
                <w:sz w:val="18"/>
              </w:rPr>
              <w:t>Winchester, MA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01890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(617) 659-2802</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spacing w:before="60" w:after="283"/>
        <w:jc w:val="center"/>
        <w:rPr/>
      </w:pPr>
      <w:r>
        <w:rPr/>
        <w:t> </w:t>
      </w:r>
    </w:p>
    <w:tbl>
      <w:tblPr>
        <w:tblW w:w="5553" w:type="dxa"/>
        <w:jc w:val="left"/>
        <w:tblInd w:w="0" w:type="dxa"/>
        <w:tblLayout w:type="fixed"/>
        <w:tblCellMar>
          <w:top w:w="28" w:type="dxa"/>
          <w:left w:w="28" w:type="dxa"/>
          <w:bottom w:w="28" w:type="dxa"/>
          <w:right w:w="28" w:type="dxa"/>
        </w:tblCellMar>
      </w:tblPr>
      <w:tblGrid>
        <w:gridCol w:w="1381"/>
        <w:gridCol w:w="1261"/>
        <w:gridCol w:w="291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291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exchange on which registered</w:t>
            </w:r>
          </w:p>
        </w:tc>
      </w:tr>
      <w:tr>
        <w:trPr/>
        <w:tc>
          <w:tcPr>
            <w:tcW w:w="13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29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12(g) of The Act:</w:t>
      </w:r>
    </w:p>
    <w:p>
      <w:pPr>
        <w:pStyle w:val="TextBody"/>
        <w:bidi w:val="0"/>
        <w:jc w:val="center"/>
        <w:rPr>
          <w:rFonts w:ascii="Times New Roman" w:hAnsi="Times New Roman"/>
          <w:color w:val="000000"/>
          <w:sz w:val="16"/>
        </w:rPr>
      </w:pPr>
      <w:r>
        <w:rPr>
          <w:rFonts w:ascii="Times New Roman" w:hAnsi="Times New Roman"/>
          <w:color w:val="000000"/>
          <w:sz w:val="16"/>
        </w:rPr>
        <w:t>Common Stock, par value $0.001 per share</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6"/>
        </w:rPr>
        <w:t>I</w:t>
      </w:r>
      <w:r>
        <w:rPr>
          <w:rFonts w:ascii="Times New Roman" w:hAnsi="Times New Roman"/>
          <w:color w:val="000000"/>
          <w:sz w:val="15"/>
        </w:rPr>
        <w:t>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72" w:type="dxa"/>
        <w:jc w:val="left"/>
        <w:tblInd w:w="0" w:type="dxa"/>
        <w:tblLayout w:type="fixed"/>
        <w:tblCellMar>
          <w:top w:w="28" w:type="dxa"/>
          <w:left w:w="28" w:type="dxa"/>
          <w:bottom w:w="28" w:type="dxa"/>
          <w:right w:w="28" w:type="dxa"/>
        </w:tblCellMar>
      </w:tblPr>
      <w:tblGrid>
        <w:gridCol w:w="1756"/>
        <w:gridCol w:w="146"/>
        <w:gridCol w:w="37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common stock held by non-affiliates of the registrant as of June 30, 2025, the last business day of the registrant’s most recently completed second quarter, was $4.4</w:t>
      </w:r>
      <w:r>
        <w:rPr>
          <w:rFonts w:ascii="Times New Roman" w:hAnsi="Times New Roman"/>
          <w:color w:val="000000"/>
          <w:sz w:val="20"/>
        </w:rPr>
        <w:t xml:space="preserve"> </w:t>
      </w:r>
      <w:r>
        <w:rPr>
          <w:rFonts w:ascii="Times New Roman" w:hAnsi="Times New Roman"/>
          <w:color w:val="000000"/>
          <w:sz w:val="15"/>
        </w:rPr>
        <w:t>million, computed based on the closing price of $1.27 per</w:t>
      </w:r>
      <w:r>
        <w:rPr>
          <w:rFonts w:ascii="Times New Roman" w:hAnsi="Times New Roman"/>
          <w:color w:val="000000"/>
          <w:sz w:val="20"/>
        </w:rPr>
        <w:t xml:space="preserve"> </w:t>
      </w:r>
      <w:r>
        <w:rPr>
          <w:rFonts w:ascii="Times New Roman" w:hAnsi="Times New Roman"/>
          <w:color w:val="000000"/>
          <w:sz w:val="15"/>
        </w:rPr>
        <w:t>share on The Nasdaq Capital Market on June 30, 2025.</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As of March 5, 2026 there were 11,698,919</w:t>
      </w:r>
      <w:r>
        <w:rPr>
          <w:rFonts w:ascii="Times New Roman" w:hAnsi="Times New Roman"/>
          <w:color w:val="000000"/>
          <w:sz w:val="20"/>
        </w:rPr>
        <w:t xml:space="preserve"> </w:t>
      </w:r>
      <w:r>
        <w:rPr>
          <w:rFonts w:ascii="Times New Roman" w:hAnsi="Times New Roman"/>
          <w:color w:val="000000"/>
          <w:sz w:val="15"/>
        </w:rPr>
        <w:t>shares</w:t>
      </w:r>
      <w:r>
        <w:rPr>
          <w:rFonts w:ascii="Times New Roman" w:hAnsi="Times New Roman"/>
          <w:color w:val="000000"/>
          <w:sz w:val="20"/>
        </w:rPr>
        <w:t xml:space="preserve"> </w:t>
      </w:r>
      <w:r>
        <w:rPr>
          <w:rFonts w:ascii="Times New Roman" w:hAnsi="Times New Roman"/>
          <w:color w:val="000000"/>
          <w:sz w:val="15"/>
        </w:rPr>
        <w:t>of the registrant’s common stock, par value $0.001 per share, outstanding.</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The following documents (or parts thereof) are incorporated by reference into the following parts of this Form 10-K: Certain information required in Part III of this Annual Report on Form 10-K is incorporated from the registrant’s definitive proxy statement for the 2026 annual meeting of stockholders to be filed pursuant to Regulation 14A with the U.S. Securities and Exchange Commission within 120 days of the registrant’s fiscal year ended December 31, 2025.</w:t>
      </w:r>
    </w:p>
    <w:tbl>
      <w:tblPr>
        <w:tblW w:w="6471" w:type="dxa"/>
        <w:jc w:val="left"/>
        <w:tblInd w:w="0" w:type="dxa"/>
        <w:tblLayout w:type="fixed"/>
        <w:tblCellMar>
          <w:top w:w="28" w:type="dxa"/>
          <w:left w:w="28" w:type="dxa"/>
          <w:bottom w:w="28" w:type="dxa"/>
          <w:right w:w="28" w:type="dxa"/>
        </w:tblCellMar>
      </w:tblPr>
      <w:tblGrid>
        <w:gridCol w:w="1141"/>
        <w:gridCol w:w="331"/>
        <w:gridCol w:w="1051"/>
        <w:gridCol w:w="856"/>
        <w:gridCol w:w="1186"/>
        <w:gridCol w:w="1906"/>
      </w:tblGrid>
      <w:tr>
        <w:trPr/>
        <w:tc>
          <w:tcPr>
            <w:tcW w:w="11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Auditor Firm Id:</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185</w:t>
            </w:r>
          </w:p>
        </w:tc>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Auditor Name: </w:t>
            </w:r>
          </w:p>
        </w:tc>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KPMG LLP</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Auditor Location:</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Boston, Massachusetts, U.S.</w:t>
            </w:r>
          </w:p>
        </w:tc>
      </w:tr>
    </w:tbl>
    <w:p>
      <w:pPr>
        <w:pStyle w:val="TextBody"/>
        <w:pBdr>
          <w:bottom w:val="double" w:sz="4"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00"/>
                  <w:sz w:val="20"/>
                </w:rPr>
                <w:t>PART 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00"/>
                  <w:sz w:val="20"/>
                </w:rPr>
                <w:t>PART 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consolidated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foreignjurisdictions">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00"/>
                  <w:sz w:val="20"/>
                </w:rPr>
                <w:t>PART III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00"/>
                  <w:sz w:val="20"/>
                </w:rPr>
                <w:t>PART IV</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6">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evaluation of strategic alternatives with a goal to enhance stockholder value, including the possibility of a merger or a sale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for shares of our common stock given that they are currently quoted on the OTC Marketplace and may experience limited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 Item 1A. “Risk Factors.”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part_i"/>
      <w:bookmarkEnd w:id="2"/>
      <w:r>
        <w:rPr>
          <w:rFonts w:ascii="Times New Roman" w:hAnsi="Times New Roman"/>
          <w:b/>
          <w:smallCaps/>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biopharmaceutical company that previously advanced novel therapeutics to transform the care of serious diseases. We focused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Nasdaq Delisting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21, 2025, we received a letter (the “Notice”) from the Listing Qualifications Department (the “Staff”) of The Nasdaq Stock Market LLC (“Nasdaq”) that stated the Staff’s belief that we were a “public shell” and that, therefore, the continued listing of its securities was no longer warranted in the view of the Staff. In the Notice, the Staff explained that it based this belief on its review of our public disclosures and materials submitted to the Staff by us. In addition, the Staff noted its belief was supported by our lack of revenue generating assets and the substantial reduction in employees and operations since February 2024. The Staff also considered our quarterly reports on Forms 10-Q filed on May 8, 2025, August 7, 2025, and November 13, 2025, respectively, which indicated that we had not generated any revenue for the nine months ended 2025, that we had no ongoing research and development activities or active clinical trial and that we had research and development expenses of only $16,000. The Notice further advised that, unless we timely request a hearing before a Hearings Panel (the “Panel”), we would be subject to suspension/delisting.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28, 2025, we timely requested a hearing before the Panel, which temporarily stayed the suspension of trading and delisting of our common stock from Nasdaq. The hearing was scheduled for January 20, 2026. After additional consideration, we determined that it was no longer in our best interest to pursue continued listing of our common stock on The Nasdaq Capital Market and withdrew our request for a hearing on January 16, 2026. As a result, on January 16, 2026, we received notice from Nasdaq that our shares would be suspended at the open of business on January 21,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suspension of trading of our shares of common stock on Nasdaq and delisting of our shares of common stock from Nasdaq, we believe that we are a “public shell” under the Nasdaq rules. Our shares of common stock have been quoted on the OTC Markets Group, Inc. (“OTC”) since January 21, 2026. As a shell company, our operating expenses have consisted primarily of, and we expect them to continue to consist primarily of, customary public company expenses, including personnel, accounting, financial reporting, legal, audit and other related public company costs.</w:t>
      </w:r>
    </w:p>
    <w:p>
      <w:pPr>
        <w:pStyle w:val="TextBody"/>
        <w:bidi w:val="0"/>
        <w:spacing w:before="4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Intellectual Property and Technology Licenses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certain jurisdictions outside of the United States related to our proprietary technology, inventions, improvements, and product candidates that are important to the development and implementation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rely on trade secrets and know-how relating to our proprietary technology and product candidates, continuing innovation, and in-licensing opportunities to develop, strengthen, and maintain our proprietary position in the field of synthetic biology. We additionally rely on data exclusivity, market exclusivity, and patent term extensions when available, and plan to rely on additional regulatory protection afforded through orphan drug designations when applicable.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enforce our proprietary rights, including our patents; and to operate without infringing on the valid and enforceable patents and other proprietary rights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are well positioned in terms of intellectual property because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believe our intellectual property portfolio provides broad coverage of our Synthetic Biotic platform and applicable disease-related technologies. As of March 5, 2026, we had over 114 Synlogic-owned patents and patent applications in U.S. and foreign jurisdictions, of which over 63 have been issued or allowed.</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Synlogic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Disease-related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disease-related applications in our intellectual property portfolio relate to certain pathological conditions including, but not limited to , hyperphenylalaninemia, hyperoxaluria, homocystinuria, hyperuricemia, hyperammonemia, certain other inherited metabolic diseases and conditions, metabolic disorders, diseases and conditions associated with an inflammatory state, diseases associated with gut inflammation, compromised gut mucosal barrier (leaky gut), and various autoimmune disorders and provide coverage for engineered bacteria having genetic circuitry designed to specifically address those conditions and the associated disease states. The intellectual property portfolio provides coverage for engineered bacterial strain compositions, related formulations, methods of making the bacterial strains, methods of measuring strain activity,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patents and patent applications have expiration dates ranging from December 2035 to December 2043, depending on the indication and excluding any patent term adjustments or extensions.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Platform Technology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disease-specific technology, Synlogic has also developed a number of technologies broadly applicable across the Synlogic platform. We rely on a combination of patent application and trade secrets to protect our platform intellectual property. Exemplary platform technologies include our unique upstream and downstream GMP manufacturing processes, bacterial chassis-related and genetic circuitry-related technological developments, including, for example, improvements in inducible gene regulation, control of bacterial cell growth, and systems for importing metabolites, as well as systems for prevention of production of potentially genotoxic metabolites. These platform technologies, and our intellectual property coverage thereof, are broadly applicable to our therapeutic Synthetic Biotics.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General Considerations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(USPTO)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cannot be sure that patents will be granted with respect to any of our pending patent applications or with respect to any patent 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Trademarks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registered trademark portfolio currently contains over 40 registered or allowed trademarks.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5, 2026, we had one full-time employee, primarily engaged in the assessment of strategic transactions, as directed by the Company's board of directors.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Information About Our Executive Officers and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persons were our executive officers and directors as of March 5, 2026:</w:t>
      </w:r>
    </w:p>
    <w:p>
      <w:pPr>
        <w:pStyle w:val="TextBody"/>
        <w:bidi w:val="0"/>
        <w:jc w:val="left"/>
        <w:rPr/>
      </w:pPr>
      <w:r>
        <w:rPr/>
        <w:t> </w:t>
      </w:r>
    </w:p>
    <w:tbl>
      <w:tblPr>
        <w:tblW w:w="6643" w:type="dxa"/>
        <w:jc w:val="left"/>
        <w:tblInd w:w="0" w:type="dxa"/>
        <w:tblLayout w:type="fixed"/>
        <w:tblCellMar>
          <w:top w:w="28" w:type="dxa"/>
          <w:left w:w="28" w:type="dxa"/>
          <w:bottom w:w="28" w:type="dxa"/>
          <w:right w:w="28" w:type="dxa"/>
        </w:tblCellMar>
      </w:tblPr>
      <w:tblGrid>
        <w:gridCol w:w="1636"/>
        <w:gridCol w:w="146"/>
        <w:gridCol w:w="486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Mary Beth Dooley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Principal Financial Officer</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Peter Barrett, Ph.D.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 of Directors, Partner at Atlas Venture</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Flynn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Managing Member and Portfolio Manager of Nerium Capital LLC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Edward Mathers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Partner at New Enterprise Associates</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Richard P. Shea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CFO, Danforth Advisors</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Corporate Information and History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were originally incorporated in the State of Delaware in December 2007 under the name “Mirna Therapeutics, Inc.” We carry on our business directly and through our subsidiaries.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On December 22, 2021, IBDCo was merged with and into Synlogic Operating Company, Inc. and IBDCo ceased to exist as a separate entity.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2017, Private Synlogic completed a reorganization (the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(the "2017 Plan") to replace the canceled incentive units pursuant to the termination of the Synlogic, LLC 2015 Equity Incentive Plan (the "2015 LLC Plan").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reverse stock split of its common stock (the "Reverse Stock Split"), and on August 28, 2017, immediately after completion of the Merger, Mirna changed its name to “Synlogic, Inc.” (NASDAQ: SYBX).</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Under the terms of the Merger Agreement, Mirna issued shares of its common stock to Private Synlogic’s stockholders, using an exchange ratio, after taking into account the Reverse Stock Split, for each share of Private Synlogic common stock and preferred stock outstanding immediately prior to the Merger (the "Exchange Ratio"). In addition, Mirna assumed all of the stock options outstanding under the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Internet address is www.synlogictx.com. Our annual reports on Form 10-K, quarterly reports on Form 10-Q, current reports on Form 8-K, and all amendments to those reports, are available to you free of charge through our website as soon as reasonably practicable after such materials have been electronically filed with, or furnished to, the U.S. Securities and Exchange Commission ("SEC").</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Annual Report on Form 10-K and our other public filings with the SEC. The following risk factors may be amended, supplemented or superseded from time to time by other reports we file with the SEC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following discussion of risk factors, references to “we,” “us,” “our” and similar terms refer to the combined business of Synlogic, Inc. after the Merger on August 28, 2017.</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securities have been delisted from Nasdaq, which has limited and may continue to limit investors’ ability to make transactions in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non-operating shell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trading market for our securities may never develop and investors may find it difficult to buy and sell our shares, which would further adversely affect the liquidity and price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to date has been almost entirely dependent on the success of SYNB1934, and we have decided to discontinue further development of SYNB1934 and devote significant time and resources to identifying and evaluating strategic alternatives, which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volatile, and our stockholders may not be able to resell shares of our common stock at or above the price they paid.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short operating history may make it difficult for stockholders to evaluate the success of our business to date and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or those of our collaborators or other contractors or consultants, may fail or suffer security breaches, which could result in a material disruption of our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sufficient patent term protections for our product candidates to effectively protect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effective proprietary rights for our product candidates or any future product candidates, we may not be able to compete effectively in our proposed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claims of intellectual property infringement may prevent or delay our development and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lawsuits to protect or enforce our patents or the patents of our licensors, which could be expensive, time consuming, and unsuccessful.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challenging the inventorship of our patents and other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protect our intellectual property rights throughout the world.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preparing our condensed consolidated financial statements for the year ended December 31, 2024, we identified a material weakness in our internal control over financial reporting, due to an ineffective internal information and communication process related to significant and non-routine transactions, to ensure that relevant and reliable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communicated on a timely basis across the organization, to enable financial personnel to effectively carry out their financial reporting and internal control roles and responsibilities.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stockholders and management own a significant percentage of our stock and are able to exert significant control over matters subject to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of our charter documents or Delaware law could delay or prevent an acquisition of us, even if the acquisition would be beneficial to our stockholders and could make it more difficult for you to change management.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Securities</w:t>
      </w:r>
    </w:p>
    <w:p>
      <w:pPr>
        <w:pStyle w:val="TextBody"/>
        <w:bidi w:val="0"/>
        <w:jc w:val="left"/>
        <w:rPr>
          <w:rFonts w:ascii="Times New Roman" w:hAnsi="Times New Roman"/>
          <w:b/>
          <w:i/>
          <w:color w:val="000000"/>
          <w:sz w:val="20"/>
        </w:rPr>
      </w:pPr>
      <w:r>
        <w:rPr>
          <w:rFonts w:ascii="Times New Roman" w:hAnsi="Times New Roman"/>
          <w:b/>
          <w:i/>
          <w:color w:val="000000"/>
          <w:sz w:val="20"/>
        </w:rPr>
        <w:br/>
        <w:t>Our securities have been delisted from Nasdaq, which has limited and may continue to limit investors’ ability to make transactions in our securities.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As previously disclosed, the trading of the Company’s securities on the Nasdaq was suspended at the open of trading on January 21, 2026. See </w:t>
      </w:r>
      <w:r>
        <w:rPr>
          <w:rFonts w:ascii="Times New Roman" w:hAnsi="Times New Roman"/>
          <w:i/>
          <w:color w:val="000000"/>
          <w:sz w:val="20"/>
        </w:rPr>
        <w:t>Item 1.</w:t>
      </w:r>
      <w:r>
        <w:rPr>
          <w:rFonts w:ascii="Times New Roman" w:hAnsi="Times New Roman"/>
          <w:color w:val="000000"/>
          <w:sz w:val="20"/>
        </w:rPr>
        <w:t xml:space="preserve"> </w:t>
      </w:r>
      <w:r>
        <w:rPr>
          <w:rFonts w:ascii="Times New Roman" w:hAnsi="Times New Roman"/>
          <w:i/>
          <w:color w:val="000000"/>
          <w:sz w:val="20"/>
        </w:rPr>
        <w:t>Business</w:t>
      </w:r>
      <w:r>
        <w:rPr>
          <w:rFonts w:ascii="Times New Roman" w:hAnsi="Times New Roman"/>
          <w:color w:val="000000"/>
          <w:sz w:val="20"/>
        </w:rPr>
        <w:t>—</w:t>
      </w:r>
      <w:r>
        <w:rPr>
          <w:rFonts w:ascii="Times New Roman" w:hAnsi="Times New Roman"/>
          <w:i/>
          <w:color w:val="000000"/>
          <w:sz w:val="20"/>
        </w:rPr>
        <w:t>Nasdaq Delisting</w:t>
      </w:r>
      <w:r>
        <w:rPr>
          <w:rFonts w:ascii="Times New Roman" w:hAnsi="Times New Roman"/>
          <w:color w:val="000000"/>
          <w:sz w:val="20"/>
        </w:rPr>
        <w:t>. Nasdaq is expected to file a Form 25 Notification of Delisting with the Securities and Exchange Commission when all internal procedural periods have run. The delisting became effective on January 21, 2026. As of the date of this Annual Report, the Company’s common stock is traded on the OTCID Basic Market, under the symbol “SYBX.”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face adverse consequences as a result of our securities not being listed on a national securities exchange, including (i) a limited availability of market quotations for our securities, (ii) reduced liquidity for our securities, (iii) a determination that our common stock is a “penny stock” which will require brokers trading in our common stock to adhere to more stringent rules and possibly result in a reduced level of trading activity in the secondary trading market for our securities, (iv) a limited amount of news and analyst coverage, if any, in the future; (v) a decreased ability to issue additional securities or otherwise obtain additional financing in the future; and (vi) a decreased ability of our securityholders to sell their securities in certain states.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a non-operating shell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public shell company with no operations and we are seeking to effect a merger, acquisition or other business combination with an operating company by using a combination of capital stock, cash on hand, or other funding sources, if available. There can be no assurances that we will be successful in identifying acquisition candidates or that, if identified, we will be able to consummate a transaction on terms acceptable to us. If we do not have sufficient liquid assets to satisfy our liabilities we will seek to raise additional capital through the issuance of equity or debt, including loans from related parties. Such additional capital may not be available timely or on terms acceptable to us, if at all.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trading market for our securities may never develop and investors may find it difficult to buy and sell our shares, which would further adversely affect the liquidity and price of our securities.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Although our common stock is quoted on the over-the-counter market, such market is an unorganized, interdealer market which provides significantly less liquidity than the Nasdaq or other national securities exchange. Securities traded on the over-the-counter market are usually thinly traded, highly volatile, have fewer market makers and are not followed by analysts. Any significant trading volume in our common stock may not be sustained. These factors may have an adverse impact on the trading and price of our common stock. See “—</w:t>
      </w:r>
      <w:r>
        <w:rPr>
          <w:rFonts w:ascii="Times New Roman" w:hAnsi="Times New Roman"/>
          <w:i/>
          <w:color w:val="000000"/>
          <w:sz w:val="20"/>
        </w:rPr>
        <w:t xml:space="preserve">Our securities have been </w:t>
      </w:r>
      <w:r>
        <w:rPr>
          <w:rFonts w:ascii="Times New Roman" w:hAnsi="Times New Roman"/>
          <w:color w:val="000000"/>
          <w:sz w:val="20"/>
        </w:rPr>
        <w:t xml:space="preserve">delisted </w:t>
      </w:r>
      <w:r>
        <w:rPr>
          <w:rFonts w:ascii="Times New Roman" w:hAnsi="Times New Roman"/>
          <w:i/>
          <w:color w:val="000000"/>
          <w:sz w:val="20"/>
        </w:rPr>
        <w:t>from Nasdaq, which has limited and may continue to limit investors’ ability to make transactions in our securities</w:t>
      </w:r>
      <w:r>
        <w:rPr>
          <w:rFonts w:ascii="Times New Roman" w:hAnsi="Times New Roman"/>
          <w:color w:val="000000"/>
          <w:sz w:val="20"/>
        </w:rPr>
        <w:t>” above for further discussion.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securityholders may face restrictions on the resale of our securities due to state “blue sky”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Each state has its own securities laws, often called “blue sky” laws, which (i) limit sales of securities to a state’s residents unless the securities are registered in that state or qualify for an exemption from registration, and (ii) govern the reporting requirements for broker-dealers doing business directly or indirectly in the state. Before a security is sold in a state, there must be a registration or qualification in place to cover the transaction, or the transaction must be exempt from registration or qualification. The applicable broker must be registered in that state. There may be state blue sky law restrictions on the ability of investors to sell, and on purchasers to buy, our common stock. As a result of our delisting from Nasdaq, our securities currently do not qualify as “covered securities” under Section 18(b)(1) of the Securities Act and are therefore subject to regulation in each state in which we offer our securities and may not qualify for offering and sale in certain states. Our common stock is quoted and traded on the OTCID Basic Market, which is not recognized as a securities manual in a majority of states. The “manual exemption” permits a security to be distributed in a particular state without being registered if the company issuing the security has a listing for that security in a securities manual recognized by that state. We do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not qualify for the “manual exemption” as our securities are not quoted and traded on a securities manual recognized in a majority of states.</w:t>
      </w:r>
    </w:p>
    <w:p>
      <w:pPr>
        <w:pStyle w:val="TextBody"/>
        <w:bidi w:val="0"/>
        <w:jc w:val="both"/>
        <w:rPr>
          <w:rFonts w:ascii="Times New Roman" w:hAnsi="Times New Roman"/>
          <w:b/>
          <w:i/>
          <w:color w:val="000000"/>
          <w:sz w:val="20"/>
        </w:rPr>
      </w:pPr>
      <w:r>
        <w:rPr>
          <w:rFonts w:ascii="Times New Roman" w:hAnsi="Times New Roman"/>
          <w:b/>
          <w:i/>
          <w:color w:val="000000"/>
          <w:sz w:val="20"/>
        </w:rPr>
        <w:br/>
        <w:t>As a result of our delisting from Nasdaq, we are more likely to require holders of our warrants who exercise their warrants to do so on a cashless basis and such holders may receive fewer shares of common stock upon exercise than they would have received had they been able to pay the exercise price of their warrants in cash.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our delisting from Nasdaq, our securities currently do not qualify as “covered securities” under Section 18(b)(1) of the Securities Act and are therefore subject to regulation in each state in which we offer our securities and may not qualify for offering and sale in certain states. Consequently, unless an exemption from qualification of our shares of common stock is then available in any relevant state, we are more likely to require holders of warrants who exercise their warrants to do so on a cashless basis in accordance with Section 3(a)(9) of the Securities Act. The number of shares we issue in a cashless exercise may be lower than if the warrants were exercised on a cash basis, which could adversely affect the value of our common stock, and the holders of the warrants may experience a lower rate of return than they would have in a cash exercise if the trading price of our shares of common stock increases.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further delisted from the OTC Markets and may face additional adverse consequences.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Failure to comply with the continuing listing standards of the OTC Markets could result in further delisting, which would significantly affect the ability of investors to trade our securities and could further reduce their value and liquidity. Additional negative consequences may include the loss of federal preemption of state securities laws, greater difficulty in raising capital, the potential loss of institutional investor interest, and fewer business development opportunities. These risks collectively may impair our ability to operate effectively and achieve our strategic objectives.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Evaluation of Strategic Alternatives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to date has been significantly dependent on the success of</w:t>
      </w:r>
      <w:r>
        <w:rPr>
          <w:rFonts w:ascii="Times New Roman" w:hAnsi="Times New Roman"/>
          <w:color w:val="000000"/>
          <w:sz w:val="20"/>
        </w:rPr>
        <w:t xml:space="preserve"> </w:t>
      </w:r>
      <w:r>
        <w:rPr>
          <w:rFonts w:ascii="Times New Roman" w:hAnsi="Times New Roman"/>
          <w:b/>
          <w:i/>
          <w:color w:val="000000"/>
          <w:sz w:val="20"/>
        </w:rPr>
        <w:t>SYNB1934, and we have decided to discontinue further development of SYNB1934 and devote significant time and resources to identifying and evaluating strategic alternatives, which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invested significant efforts and financial resources in the research and development of SYNB1934, which was our lead product candidate in clinical trials.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Beginning in February 2024, we started to reduce operating expenses while we evaluate our strategic alternatives with a goal to enhance stockholder value, including the possibility of a merger or sale of the Company. There can be no assurance that our process to identify and evaluate potential strategic alternatives will result in any definitive offer to consummate a strategic transaction, or if made what the terms thereof will be or that any transaction will be approved or consummated.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our company and/or assets, that is consummated would enhance shareholder value. There also can be no assurance that we will conduct further drug research or development activities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strategic transaction may require us to incur non-recurring or other charges, may increase our near-and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higher-than-expected acquisition and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and cost in combining the operations and personnel of any acquired businesses with our operations and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retain key employees of our company or any acquired businesses.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process to identify a strategic transaction will result in a successfully consummated transaction. If no transaction is completed, our board of directors may decide to pursue a dissolution and liquidation of our company. In such an event, the amount of cash available for distribution to our stockholders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 stockholders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stockholders.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and (ii) potential litigation against us, and other various claims and legal actions arising in the ordinary course of business.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Financial Condition, Capital Requirements and Operating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stock price is volatile, and our stockholders may not be able to resell shares of our common stock at or above the price they paid.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is highly volatile and could be subject to wide fluctuations in response to various factors, some of which are beyond our control, such as reports by industry analysts, investor perceptions, general industry trends, macro-economic conditions, or negative announcements by other companies involving similar technologies or diseases. These factors also include those discussed in this “Risk Factors” section of this Annual Report on Form 10-K and others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our identification and evaluation of strategic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our delisting or further delisting;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Prevailing economic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or issuances of equity or debt securities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an active, liquid and orderly market in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new or changed securities analysts’ reports or recommendations regarding 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short operating history may make it difficult for stockholders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with a limited operating history. We commenced active operations in 2014. Our operations to date have been limited to organizing and staffing our company, research and development activities, business planning and raising capital.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Our internal computer systems, or those of our collaborators or other contractors or consultants, may fail or suffer cybersecurity incidents, which could result in a material disruption of our product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information technology, or IT,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and IT systems.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To the extent that any disruption or cybersecurity incident were to result in a loss of, or damage to, our data or applications, or inappropriate disclosure of confidential or proprietary information, we could incur liability, our competitive position could be harmed.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evolve and efforts to overcome security measures become increasingly sophisticated. Moreover, despite our efforts, the possibility of these events occurring cannot be eliminated entirely. In addition, there can be no assurance that we will promptly detect any such disruption or cybersecurity incident, if at all.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IT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industrial espionage attacks or insider threat attacks which could result in financial, legal, business or reputational harm, as well as loss of competitive advantage or loss of consumer confidence.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obtaining or maintaining necessary rights to Synthetic Biotics, product candidates and processes for our development pipeline through acquisitions and in-licenses.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have previously collaborated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have sufficient patent term protections to effectively protect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maintain effective proprietary rights for our product candidates or any future product candidates, we may not be able to compete effectively in our proposed markets.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by third parties, we may not be able to establish or maintain a competitive advantage in our market, which could materially adversely affect our business,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Third-party claims of intellectual property infringement may prevent or delay our development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biology. We may become aware of U.S. and foreign patents and pending patent applications owned by third parties that cover similar therapeutic uses as the product candidates we are developing and we may in the future pursue available proceedings in the U.S. and foreign patent offices to challenge the validity of such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depend, in part, on our licensors to file, prosecute, maintain, defend and enforce patents and patent applications that are material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certain intellectual property license agreements and may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involved in lawsuits to protect or enforce our patents or the patents of our licensors,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Europe's Unified Patent Court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pStyle w:val="TextBody"/>
        <w:bidi w:val="0"/>
        <w:jc w:val="left"/>
        <w:rPr>
          <w:rFonts w:ascii="Times New Roman" w:hAnsi="Times New Roman"/>
          <w:b/>
          <w:i/>
          <w:color w:val="000000"/>
          <w:sz w:val="20"/>
        </w:rPr>
      </w:pPr>
      <w:r>
        <w:rPr>
          <w:rFonts w:ascii="Times New Roman" w:hAnsi="Times New Roman"/>
          <w:b/>
          <w:i/>
          <w:color w:val="000000"/>
          <w:sz w:val="20"/>
        </w:rPr>
        <w:t>Some of our intellectual property may be subject to federal regulations such as “march-in” rights, certain reporting requirements and a preference for U.S.-based companies if it is determined that our intellectual property has been discovered through government-funded programs.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intellectual property rights we have acquired or licensed or may acquire or license in the future may have been generated through the use of U.S. government funding and may therefore be subject to certain federal regulations.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relating to such intellectual property. To the extent any of our future intellectual property is also generated through the use of U.S. government funding, the provisions of the Bayh-Dole Act may similarly apply.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as of December 31, 2025, due to an ineffective internal information and communication process related to significant and non-routine transactions to ensure that relevant and reliable information was communicated on a timely basis across the organization, to enable financial personnel to effectively carry out their financial reporting and internal control roles and responsibilities.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 over financial reporting is necessary for us to provide reliable financial reports and, together with adequate disclosure controls and procedures, is designed to prevent fraud. Any failure to maintain or implement required new or improved controls, or difficulties encountered in implementation could cause us to fail to meet our reporting obligations. In addition, any testing by us, as and when required, conducted in connection with Section 404 of the Sarbanes-Oxley Act, or Section 404, or any testing by our independent registered public accounting firm may reveal deficiencies in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are deemed to be material weaknesses or that may require prospective or retroactive changes to our consolidated financial statements or identify other areas for further attention or improvement.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in this Annual Report on Form 10-K, we identified a material weakness in our internal control over financial reporting as of December 31, 2025.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Specifically, our management concluded that we did not have an effective internal information and communication process to ensure that relevant and reliable information was communicated on a timely basis across the organization, to enable financial personnel to effectively carry out their financial reporting and internal control roles and responsibilities. The failure, relating to significant and non-routine transactions, resulted in a misstatement of our warrant liabilities, transaction costs, change in fair value of warrant liabilities, additional paid-in-capital, accumulated deficit and certain related financial disclosures. This material weakness resulted in the correction of our consolidated financial statements as of and for the year ended December 31, 2023, and for the quarterly periods ended March 31, 2024 and June 30, 2024. For further discussion of the material weakness, see Part II, Item 9A,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taken and plan to continue to take actions to remediate this material weakness, including (i) strengthening our formal accounting policies, procedures and controls over accounting for significant and non-routine transactions with a focus on ensuring the analysis is complete and includes each of the material components of the transaction; (ii) specific oversight procedures, including the requirement of the finance staff and consultants, to attend any and all meetings regarding significant and non-routine transactions; and (iii) specific review procedures, requiring review of all documents pertaining to significant and non-routine transactions by both finance staff and consultants. However, we cannot provide assurance that we will be able to correct this material weakness in a timely manner or that our remediation efforts will be adequate to allow us to conclude that our internal control over financial reporting will be effective in the future. Even if this material weakness is remediated in the future, we could identify additional material weaknesses or deficiencies in our internal control over financial reporting that could require correction or remediation.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conclusion that we have a material weakness could give rise to increased scrutiny, review, audit and investigation over our accounting controls and procedures, which could then lead to additional areas of deficiency or errors in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continue to dedicate internal resources, engage outside consultants and maintain a detailed work plan to assess and document the adequacy of internal control over financial reporting, continue steps to remediate the material weakness relating to our internal information and communication process described above relating to significant and non-routine transactions, and any future control deficiencies or material weaknesses, and improve control processes as appropriate, validate through testing that controls are functioning as documented and maintain a continuous reporting and improvement process for internal control over financial reporting. If we are not able to correct material weaknesses or deficiencies in internal controls in a timely manner or otherwise comply with the requirements of Section 404 in a timely manner, our ability to record, process, summarize and report financial information accurately and within applicable time periods may be adversely affected, and we could be subject to sanctions or investigations by the SEC, the Nasdaq Stock Market or other regulatory authorities as well as stockholder litigation which, even if resolved in our favor, would require additional financial and management resources and could adversely affect the market price of our common stock.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fraud, our business and results of operations could be harmed. Inferior internal controls could also cause investors to lose confidence in our reported financial information, which could have a negative effect on the trading price of our common stock and could also affect our ability to raise capital to fund future business initiatives.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principal stockholders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March 5, 2026, our directors, together with holders of 5% or more of our common stock outstanding and their respective affiliates, beneficially own the majority of our common stock. As of March 5, 2026, affiliates of Cable Car Capital LLC (“Cable Car”) and New Enterprise Associates 14, L.P. (“NEA 14”) owned approximately 28% and 25% of our outstanding common stock, respectively. Although we are not a “controlled company” within the meaning of the corporate governance standards of the New York Stock Exchange, affiliates of Cable Car and NEA 14 are able to significantly influence our decisions,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Future sales of our common stock or securities convertible or exchangeable for our common stock may depress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March 5, 2026, there were a total of 11,698,919 shares of our common stock outstanding.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vesting provisions, as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fluctuations.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Provisions of our charter documents or Delaware law could delay or prevent an acquisition of us, even if the acquisition would be beneficial to our stockholders and could make it more difficult for you to change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so that not all directors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through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our Board of Directors or the resignation, death or removal of a director;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that special meetings of our Stockholders be called only by our Board of Directors, the chairman of our Board of Directors, the chief executive officer or, in the absence of a chief executive officer, the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advance notice requirement for stockholder proposals and nominations;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authority of our Board of Directors to issue preferred stock with such terms as our Board of Directors may determine;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of approval of not less than 66 2/3% of all outstanding shares of our capital stock entitled to vote to amend any bylaws by stockholder action, or to amend specific provisions of our certificate of incorporation.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charter and other provisions of Delaware law could limit the price that investors are willing to pay in the future for shares of our common stock. </w:t>
      </w:r>
    </w:p>
    <w:p>
      <w:pPr>
        <w:pStyle w:val="TextBody"/>
        <w:bidi w:val="0"/>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in, or interpretations of, accounting rules and regulations could result in unfavorable accounting charges or require us to change our compensation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 </w:t>
      </w:r>
    </w:p>
    <w:p>
      <w:pPr>
        <w:pStyle w:val="TextBody"/>
        <w:bidi w:val="0"/>
        <w:jc w:val="left"/>
        <w:rPr>
          <w:rFonts w:ascii="Times New Roman" w:hAnsi="Times New Roman"/>
          <w:b/>
          <w:i/>
          <w:color w:val="000000"/>
          <w:sz w:val="20"/>
        </w:rPr>
      </w:pPr>
      <w:r>
        <w:rPr>
          <w:rFonts w:ascii="Times New Roman" w:hAnsi="Times New Roman"/>
          <w:b/>
          <w:i/>
          <w:color w:val="000000"/>
          <w:sz w:val="20"/>
        </w:rPr>
        <w:t>We will continue to incur costs as a result of being a public company, and our management will continue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5" w:name="item_1b_u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6" w:name="item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the critical importance of maintaining the trust and confidence of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Cybersecurity Risk Management and Strategy; Effect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and work with a third party managed service provider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and our third-party partners employ a range of tools and services, including regular network and endpoint monitoring and protection, audits, vulnerability assessments, and penetration testing, to inform our risk identification and assessment. As discussed in more detail under “Cybersecurity Governance; Management” below, our audit committee provides oversight of our cybersecurity risk management and strategy processes, which are led by our Principal Executive Officer and Principal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identify our cybersecurity threat risks by using the services of a managed services provider. To provide for the availability of critical data and systems, maintain regulatory compliance, manage our material risks from cybersecurity threats, and protect against and respond to cybersecurity incidents, we undertake the following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monitor as appropriate emerging data protection laws and industry literature and implement changes to our processes that are designed to comply with such laws if needed;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our policies, practices and contracts (as applicable), require employees, as well as third parties that provide services on our behalf, to treat confidential information and data with care;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 technical safeguards that are designed to protect our information systems from cybersecurity threats, including redundant firewalls, intrusion prevention and detection systems, multi-factor authentication, encryption, anti-malware functionality and access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annual and routine mandatory training utilizing Knowbe4 (leading security awareness training module) for our employees and contractors regarding cybersecurity threats as a means to equip them with effective tools to address cybersecurity threats, and to communicate our evolving information security policies, standards, processes and practices;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phishing email simulations for employees and contractors with access to our email systems to enhance awareness and responsiveness to possible threats;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utilize a managed services provider to help us identify, protect, detect, respond and recover when there is an actual or potential cybersecurity incident;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carry information security risk insurance that provides protection against the potential losses arising from a cybersecurity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incident response plan coordinates the activities we, in concert with our third party managed services provider,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including through vendor security questionnaires as appropriate.</w:t>
      </w:r>
    </w:p>
    <w:p>
      <w:pPr>
        <w:pStyle w:val="TextBody"/>
        <w:bidi w:val="0"/>
        <w:spacing w:before="120" w:after="283"/>
        <w:jc w:val="left"/>
        <w:rPr>
          <w:rFonts w:ascii="Times New Roman" w:hAnsi="Times New Roman"/>
          <w:sz w:val="20"/>
        </w:rPr>
      </w:pPr>
      <w:r>
        <w:rPr>
          <w:rFonts w:ascii="Times New Roman" w:hAnsi="Times New Roman"/>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hAnsi="Times New Roman"/>
          <w:i/>
          <w:color w:val="000000"/>
          <w:sz w:val="20"/>
        </w:rPr>
        <w:t>Our internal computer systems, or those of our collaborators or other contractors or consultants, may fail or suffer cybersecurity incidents, which could result in a material disruption of our product development programs,”</w:t>
      </w:r>
      <w:r>
        <w:rPr>
          <w:rFonts w:ascii="Times New Roman" w:hAnsi="Times New Roman"/>
          <w:color w:val="000000"/>
          <w:sz w:val="20"/>
        </w:rPr>
        <w:t xml:space="preserve"> which disclosures are incorporated by reference herein. In the last three fiscal years, we have not experienced any cybersecurity incidents which have materially affected or are reasonably likely to materially affect our business strategy, results of operations or financial condition.</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Cybersecurity Governance;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is an important part of our risk management processes and an area of focus for our board of directors and management. Our board of directors executes its oversight responsibility for risk management both directly and through delegating oversight of certain of these risks to its committees, and our board of directors has authorized our audit committee to oversee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least annually and on a periodic basis, our audit committee receives an update from management on our cybersecurity threat risk management and strategy processes and generally receives materials on our ability to mitigate current and emerging risks. Our processes require that our audit committee is designated to receive prompt and timely information regarding any cybersecurity incident that meets establishing reporting thresholds, as well as ongoing updates regarding any such incident until it has been addressed.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and strategy processes, which are discussed in greater detail above, are led by the Company's Principal Executive Officer and Principal Financial Officer, along with the Company’s managed services provider, which monitors the prevention, mitigation, detection, and remediation of cybersecurity incidents through their management of, and participation in, the cybersecurity risk management and strategy processes described above, including the operation of our incident response plan. As discussed above, the Company's Principal Executive Officer and Principal Financial Officer reports to the audit committee of our board of directors about cybersecurity threat risks, among other cybersecurity related matters, on an annual basis.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June 26, 2024, our corporate headquarters and operations were located in Cambridge, Massachusetts.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further under </w:t>
      </w:r>
      <w:r>
        <w:rPr>
          <w:rFonts w:ascii="Times New Roman" w:hAnsi="Times New Roman"/>
          <w:i/>
          <w:color w:val="000000"/>
          <w:sz w:val="20"/>
        </w:rPr>
        <w:t>Note 7: Restructuring and Other Charges</w:t>
      </w:r>
      <w:r>
        <w:rPr>
          <w:rFonts w:ascii="Times New Roman" w:hAnsi="Times New Roman"/>
          <w:color w:val="000000"/>
          <w:sz w:val="20"/>
        </w:rPr>
        <w:t xml:space="preserve">, in connection with the corporate restructuring, on June 26, 2024 (the “Termination Date”), the Company entered into a Lease Termination Agreement (the “Termination Agreement”) for its corporate headquarters at 301 Binney Street in Cambridge, Massachusetts, with the landlord which, effective immediately, terminated the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official address of our corporate headquarters and operations is P.O. Box 30, Winchester, Massachusetts 01890. We believe that our existing office space is adequate to meet current requirements, and that suitable additional or substitute space will be available as needed to accommodate our operations. </w:t>
      </w:r>
    </w:p>
    <w:p>
      <w:pPr>
        <w:pStyle w:val="TextBody"/>
        <w:bidi w:val="0"/>
        <w:spacing w:before="120" w:after="283"/>
        <w:jc w:val="left"/>
        <w:rPr/>
      </w:pPr>
      <w:r>
        <w:rPr/>
        <w:t> </w:t>
      </w:r>
    </w:p>
    <w:p>
      <w:pPr>
        <w:pStyle w:val="TextBody"/>
        <w:bidi w:val="0"/>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traded on the OTCID under the symbol “SYBX” since January 21, 2026. Previously, since August 28, 2017, our common stock had traded on The Nasdaq Capital Market under the symbol “SYBX.”</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5, 2026, there were approximately 69 stockholders of record of our common stock.</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dividends to our stockholders since our inception.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repurchases of common stock during the quarter ended December 31, 2025.</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biopharmaceutical company that previously advanced novel therapeutics to transform the care of serious diseases. We focused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Nasdaq Delisting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21, 2025, we received the Notice from the Staff of Nasdaq that stated the Staff’s belief that we were a “public shell” and that, therefore, the continued listing of its securities was no longer warranted in the view of the Staff. In the Notice, the Staff explained that it based this belief on its review of our public disclosures and materials submitted to the Staff by us. In addition, the Staff noted its belief was supported by our lack of revenue generating assets and the substantial reduction in employees and operations since February 2024. The Staff also considered our quarterly reports on Forms 10-Q filed on May 8, 2025, August 7, 2025, and November 13, 2025, respectively, which indicated that we had not generated any revenue for the nine months ended 2025, that we had no ongoing research and development activities or active clinical trial and that we had research and development expenses of only $16,000. The Notice further advised that, unless we timely request a hearing before a Panel, we would be subject to suspension/delisting.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28, 2025, we timely requested a hearing before the Panel, which temporarily stayed the suspension of trading and delisting of our common stock from Nasdaq. The hearing was scheduled for January 20, 2026. After additional consideration, we determined that it was no longer in our best interest to pursue continued listing of our common stock on The Nasdaq Capital Market and withdrew our request for a hearing on January 16, 2026. As a result, on January 16, 2026, we received notice from Nasdaq that our shares would be suspended at the open of business on January 21,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suspension of trading of our shares of common stock on Nasdaq and delisting of our shares of common stock from Nasdaq, we believe that we are a “public shell” under the Nasdaq rules. Our shares of common stock have been quoted on the OTC since January 21, 2026. As a shell company, our operating expenses have consisted primarily of, and we expect them to continue to consist primarily of, customary public company expenses, including personnel, accounting, financial reporting, legal, audit and other related public company costs.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believe that inflation has had a material impact on our business or operating results during the periods presented. However, inflationary costs could adversely affect our business, financial condition and results of operations. Increased inflation has had, and may continue to have, an effect on interest rates. Increased interest rates may adversely affect our borrowing rate and our ability to obtain, or the terms under which we can obtain, any potential additional funding.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consist of expenses incurred in connection with the discovery and development of our product candidates, which are expensed as they are incurred.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directors’ and officers’ insurance costs.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made the decision to discontinue Synpheny-3, our pivotal study of our lead product candidate, labafenogene marselecobac (SYNB1934), as a potential treatment for PKU. As a result, we started to undertake certain operational and organizational steps in connection with a strategic reorganization plan and related cost-saving measures. We initiated a plan to review strategic alternatives in which we substantially reduced our operations and reduced the workforce, leaving one remaining full-time employee. In addition, the Company has engaged consultants, to, among other things, support the strategic review process and current business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investment income consists of income earned on investments. Other income (expense) consists primarily of gains and losses on foreign currency invoices and gains and losses on remeasurement of the purchase warrant liability.</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warrants are monitored and analyzed by us for changes in facts and circumstances, and material changes in these estimates could occur in the future. The judgment regarding the inputs used to value liability-classified warrants using the Black-Scholes option pricing model and estimates and assumptions involved in our research and development expenses, involve a greater degree of judgment, and therefore we consider warrants and research and development expenses to be our critical accounting policies. We evaluate our estimates and assumptions on an ongoing basis. Actual results may differ from our estimates under different assumptions or conditions. We believe that these identified policies are critical to fully understanding and evaluating our financial condition and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w:t>
      </w:r>
      <w:r>
        <w:rPr>
          <w:rFonts w:ascii="Times New Roman" w:hAnsi="Times New Roman"/>
          <w:i/>
          <w:color w:val="000000"/>
          <w:sz w:val="20"/>
        </w:rPr>
        <w:t>Summary of Significant Accounting Policies</w:t>
      </w:r>
      <w:r>
        <w:rPr>
          <w:rFonts w:ascii="Times New Roman" w:hAnsi="Times New Roman"/>
          <w:color w:val="000000"/>
          <w:sz w:val="20"/>
        </w:rPr>
        <w:t>, to our consolidated financial statements appearing elsewhere in this Annual Report on Form 10-K. During the year ended December 31, 2025, we determined that research and development expense was no longer a critical accounting policy due to the corporate restructuring and current focus on the strategic review process and business operations.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summarizes the key factors our management believes are necessary for an understanding of our consolidated financial results.</w:t>
      </w:r>
    </w:p>
    <w:tbl>
      <w:tblPr>
        <w:tblW w:w="7712" w:type="dxa"/>
        <w:jc w:val="left"/>
        <w:tblInd w:w="0" w:type="dxa"/>
        <w:tblLayout w:type="fixed"/>
        <w:tblCellMar>
          <w:top w:w="28" w:type="dxa"/>
          <w:left w:w="28" w:type="dxa"/>
          <w:bottom w:w="28" w:type="dxa"/>
          <w:right w:w="28" w:type="dxa"/>
        </w:tblCellMar>
      </w:tblPr>
      <w:tblGrid>
        <w:gridCol w:w="4441"/>
        <w:gridCol w:w="211"/>
        <w:gridCol w:w="1036"/>
        <w:gridCol w:w="166"/>
        <w:gridCol w:w="211"/>
        <w:gridCol w:w="1036"/>
        <w:gridCol w:w="611"/>
      </w:tblGrid>
      <w:tr>
        <w:trPr/>
        <w:tc>
          <w:tcPr>
            <w:tcW w:w="4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per share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12,196,209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Year Ended December 31, 2025 Compared to Year Ended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4391" w:type="dxa"/>
        <w:jc w:val="left"/>
        <w:tblInd w:w="0" w:type="dxa"/>
        <w:tblLayout w:type="fixed"/>
        <w:tblCellMar>
          <w:top w:w="28" w:type="dxa"/>
          <w:left w:w="28" w:type="dxa"/>
          <w:bottom w:w="28" w:type="dxa"/>
          <w:right w:w="28" w:type="dxa"/>
        </w:tblCellMar>
      </w:tblPr>
      <w:tblGrid>
        <w:gridCol w:w="841"/>
        <w:gridCol w:w="146"/>
        <w:gridCol w:w="211"/>
        <w:gridCol w:w="346"/>
        <w:gridCol w:w="146"/>
        <w:gridCol w:w="146"/>
        <w:gridCol w:w="233"/>
        <w:gridCol w:w="233"/>
        <w:gridCol w:w="146"/>
        <w:gridCol w:w="146"/>
        <w:gridCol w:w="211"/>
        <w:gridCol w:w="271"/>
        <w:gridCol w:w="166"/>
        <w:gridCol w:w="146"/>
        <w:gridCol w:w="146"/>
        <w:gridCol w:w="481"/>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was no revenue for the year ended December 31, 2025 compared to $0.01 million for the year ended December 31, 2024. Revenue for the year ended December 31, 2024 was related to a material transfer and consulting agreement, under which work was completed in March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left"/>
        <w:rPr/>
      </w:pPr>
      <w:r>
        <w:rPr/>
        <w:t> </w:t>
      </w:r>
    </w:p>
    <w:tbl>
      <w:tblPr>
        <w:tblW w:w="7962" w:type="dxa"/>
        <w:jc w:val="left"/>
        <w:tblInd w:w="0" w:type="dxa"/>
        <w:tblLayout w:type="fixed"/>
        <w:tblCellMar>
          <w:top w:w="28" w:type="dxa"/>
          <w:left w:w="28" w:type="dxa"/>
          <w:bottom w:w="28" w:type="dxa"/>
          <w:right w:w="28" w:type="dxa"/>
        </w:tblCellMar>
      </w:tblPr>
      <w:tblGrid>
        <w:gridCol w:w="2901"/>
        <w:gridCol w:w="346"/>
        <w:gridCol w:w="211"/>
        <w:gridCol w:w="571"/>
        <w:gridCol w:w="146"/>
        <w:gridCol w:w="146"/>
        <w:gridCol w:w="211"/>
        <w:gridCol w:w="676"/>
        <w:gridCol w:w="146"/>
        <w:gridCol w:w="146"/>
        <w:gridCol w:w="211"/>
        <w:gridCol w:w="736"/>
        <w:gridCol w:w="166"/>
        <w:gridCol w:w="146"/>
        <w:gridCol w:w="146"/>
        <w:gridCol w:w="481"/>
        <w:gridCol w:w="576"/>
      </w:tblGrid>
      <w:tr>
        <w:trPr/>
        <w:tc>
          <w:tcPr>
            <w:tcW w:w="29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 was $0.04 million for the year ended December 31, 2025 compared to $9.2 million for the year ended December 31, 2024. The following table below summarizes our research and development expenses by categories of costs for the periods presented (in thousands):</w:t>
      </w:r>
    </w:p>
    <w:p>
      <w:pPr>
        <w:pStyle w:val="TextBody"/>
        <w:bidi w:val="0"/>
        <w:jc w:val="left"/>
        <w:rPr/>
      </w:pPr>
      <w:r>
        <w:rPr/>
        <w:t> </w:t>
      </w:r>
    </w:p>
    <w:tbl>
      <w:tblPr>
        <w:tblW w:w="9422" w:type="dxa"/>
        <w:jc w:val="left"/>
        <w:tblInd w:w="0" w:type="dxa"/>
        <w:tblLayout w:type="fixed"/>
        <w:tblCellMar>
          <w:top w:w="28" w:type="dxa"/>
          <w:left w:w="28" w:type="dxa"/>
          <w:bottom w:w="28" w:type="dxa"/>
          <w:right w:w="28" w:type="dxa"/>
        </w:tblCellMar>
      </w:tblPr>
      <w:tblGrid>
        <w:gridCol w:w="6151"/>
        <w:gridCol w:w="262"/>
        <w:gridCol w:w="430"/>
        <w:gridCol w:w="206"/>
        <w:gridCol w:w="181"/>
        <w:gridCol w:w="262"/>
        <w:gridCol w:w="711"/>
        <w:gridCol w:w="166"/>
        <w:gridCol w:w="211"/>
        <w:gridCol w:w="631"/>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Labafenogene marselecobac (SYNB1934)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SYNB1618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SYNB8802</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SYNB1891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pre-development candidate costs and unallocated costs</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external costs</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Internal costs: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compensation and benefits (including equity-based compensation expense)</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other</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internal costs</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of $9.1 million in research and development expense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external research and development costs of $4.0 million, which primarily consisted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$4.4 million decrease in clinical, manufacturing and professional costs associated with Labafenogene marselecobac (SYNB1934). The decision to discontinue Synpheny-3, our pivotal study of our lead product candidate, labafenogene marselecobac (SYNB1934), as a potential treatment for PKU, was made in February 2024;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$0.4 million benefit in clinical, manufacturing and professional costs associated with SYNB1618 (earlier generation for Labafenogene marselecobac) for the Phase 2 Synpheny-1 study. We completed the final reconciliation of the study with the contract research organization (CRO) and received a refund during the year ended December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$5.1 million decrease in internal research and development costs, which was primarily driven by the corporate restructuring and reduction in its workforce by more than 90%.</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$3.5 million for the year ended December 31, 2025 compared to $6.6 million for the year ended December 31, 2024. The decrease of $3.1 million was primarily due to lower compensation, benefits and other employee-related expenses due to reduced headcount and decreased professional service costs.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2024, the Company and its board of directors decided to discontinue the Synpheny-3 trial and to conduct a comprehensive review of strategic alternatives. We also announced a corporate restructuring that resulted in a reduction in our workforce, leaving one remaining full-time employee. In addition, we have engaged consultants, to, among other things, support the strategic review process and current business operations. We recorded restructuring and other charges of $0.5 million for the year ended December 31, 2025, compared to $25.2 million for the year ended December 31, 2024. As part of the corporate restructuring, we recorded impairment charges related to our leases, property and equipment, and prepaid research and development. Additionally, we had other restructuring costs related to severance payments due to the reduction in workforce, accelerated stock compensation expense, legal fees, and contract termination costs.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income for the year ended December 31, 2025 was $3.0 million, compared to $17.6 million for the corresponding period in 2024. The decrease in other income of $14.6 million was primarily related to the change in fair value of the purchase warrants classified as liabilities on the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since our inception on March 14, 2014 and as of December 31, 2025, we had an accumulated deficit of $442.7 million. We have financed our operations to date primarily through the sale of preferred stock, common stock, preferred units and warrants, payments received under prior collaboration agreements, interest earned on investments, and cash received in the Merger. At December 31, 2025, we had $14.7 million in cash and cash equivalents. Our cash and cash equivalents include amounts held in money market funds, stated at cost plus unrealized gain and loss, which approximates fair market value.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our cash, cash equivalents and marketable securities balance decreased by $4.2 million. This decrease was primarily due to the cash used to operate our business. In February 2024, we implemented a strategic reduction of our workforce, leaving one remaining full-time employee. In addition, we have engaged consultants, to, among other things, support the strategic review process and current business operations. In the years ended December 31, 2025 and December 31, 2024, we recorded restructuring and impairment charges in connection with the restructuring.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major sources and uses of cash, cash equivalents and restricted cash for each of the periods below:</w:t>
      </w:r>
    </w:p>
    <w:p>
      <w:pPr>
        <w:pStyle w:val="TextBody"/>
        <w:bidi w:val="0"/>
        <w:jc w:val="left"/>
        <w:rPr/>
      </w:pPr>
      <w:r>
        <w:rPr/>
        <w:t> </w:t>
      </w:r>
    </w:p>
    <w:tbl>
      <w:tblPr>
        <w:tblW w:w="7993" w:type="dxa"/>
        <w:jc w:val="left"/>
        <w:tblInd w:w="0" w:type="dxa"/>
        <w:tblLayout w:type="fixed"/>
        <w:tblCellMar>
          <w:top w:w="28" w:type="dxa"/>
          <w:left w:w="28" w:type="dxa"/>
          <w:bottom w:w="28" w:type="dxa"/>
          <w:right w:w="28" w:type="dxa"/>
        </w:tblCellMar>
      </w:tblPr>
      <w:tblGrid>
        <w:gridCol w:w="5581"/>
        <w:gridCol w:w="211"/>
        <w:gridCol w:w="631"/>
        <w:gridCol w:w="166"/>
        <w:gridCol w:w="146"/>
        <w:gridCol w:w="211"/>
        <w:gridCol w:w="736"/>
        <w:gridCol w:w="311"/>
      </w:tblGrid>
      <w:tr>
        <w:trPr/>
        <w:tc>
          <w:tcPr>
            <w:tcW w:w="5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provided by</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cash equivalents and restricted cash used in operating activities was $4.4 million for the year ended December 31, 2025. The primary use of cash was our net loss of $1.0 million, changes in our assets and liabilities of $1.1 million, $2.4 million of non-cash items primarily including the change in fair value of purchase warrants, and gain on disposal of property and equipment, partially offset by $0.1 million of non-cash items related to equity based-compensation. The changes in our assets and liabilities include decreases in prepaid expenses and other current assets and accounts payable and accrued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 was $31.7 million for the year ended December 31, 2024. The primary use of cash was our net loss of $23.4 million, changes in our assets and liabilities of $11.7 million, partially offset by $3.4 million of non-cash items primarily including the change in fair value of purchase warrants, impairment of fixed assets and the right of use asset, gain on lease termination, impairment of prepaid research and development balances related to work with Ginkgo, equity-based compensation, and gain on disposal of property and equipment. The changes in our assets and liabilities include decreases in prepaid expenses and other current assets, prepaid research and development expenses, the operating lease liability, and accounts payable and accrued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year ended December 31, 2025 was $0.2 million and resulted from the proceeds from sales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year ended December 31, 2024 was $25.3 million and resulted primarily from the proceeds from maturity of marketable securities of $25.5 million and $1.3 million from sales of property and equipment. This was offset by the purchases of marketable securities of $1.5 million and the purchases of property and equipment of $0.01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cash used in or provided by financing activities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twelve months ended December 31, 2024 totaled $0.2 million, primarily related to proceeds from exercise of stock options and net proceeds from the sale of our common stock in an at-the-market offering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expect our expenses to remain roughly the same in the near term following our decision to discontinue our Synpheny-3 clinical trial while we explore strategic alternatives. Pending the outcome of our review of strategic alternatives, we expect to incur additional costs in connection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generated revenue from our prior collaborations, but have not generated any product revenue since our inception and do not expect to generate any product revenue. We believe that our current cash and cash equivalents as of December 31, 2025 will be sufficient to fund our operations at the current levels for at least the next 12 months from the date of this filing.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funding requirements will depend on many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success, timing and cost of any strategic transactions, business combinations or divestiture;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 Item 1A “Risk Factors.”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Contractual Commitments and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early-stage company, we are subject to a number of risks common to other life science companies, including, but not limited to, the ability to raise additional capital and protection of proprietary technology. We may never achieve profitability, and unless and until we do, we will continue to need to raise additional capital or obtain financing from other sources, such as strategic collaborations or alliances. If we cannot expand our operations or otherwise capitalize on our business opportunities because we lack sufficient capital, our business, financial condition and results of operations could be materially adversely affected.</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relationships with unconsolidated entities or financial partnerships, such as entities often referred to as structured finance or special purpose entities, that would have been established for the purpose of facilitating off-balance sheet arrangements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Please read Note 2, </w:t>
      </w:r>
      <w:r>
        <w:rPr>
          <w:rFonts w:ascii="Times New Roman" w:hAnsi="Times New Roman"/>
          <w:i/>
          <w:color w:val="000000"/>
          <w:sz w:val="20"/>
        </w:rPr>
        <w:t>Summary of Significant Accounting Policies</w:t>
      </w:r>
      <w:r>
        <w:rPr>
          <w:rFonts w:ascii="Times New Roman" w:hAnsi="Times New Roman"/>
          <w:color w:val="000000"/>
          <w:sz w:val="20"/>
        </w:rPr>
        <w:t xml:space="preserve"> to the consolidated financial statements included elsewhere in this Annual Report on Form 10-K. </w:t>
      </w:r>
    </w:p>
    <w:p>
      <w:pPr>
        <w:pStyle w:val="TextBody"/>
        <w:bidi w:val="0"/>
        <w:spacing w:before="160" w:after="283"/>
        <w:jc w:val="left"/>
        <w:rPr/>
      </w:pPr>
      <w:r>
        <w:rPr/>
        <w:t> </w:t>
      </w:r>
    </w:p>
    <w:p>
      <w:pPr>
        <w:pStyle w:val="TextBody"/>
        <w:bidi w:val="0"/>
        <w:jc w:val="left"/>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this information required under this item.</w:t>
      </w:r>
    </w:p>
    <w:p>
      <w:pPr>
        <w:pStyle w:val="TextBody"/>
        <w:bidi w:val="0"/>
        <w:spacing w:before="360" w:after="283"/>
        <w:jc w:val="left"/>
        <w:rPr>
          <w:rFonts w:ascii="Times New Roman" w:hAnsi="Times New Roman"/>
          <w:sz w:val="20"/>
        </w:rPr>
      </w:pPr>
      <w:bookmarkStart w:id="15" w:name="item_8_consolidated_financial_statements"/>
      <w:bookmarkEnd w:id="15"/>
      <w:r>
        <w:rPr>
          <w:rFonts w:ascii="Times New Roman" w:hAnsi="Times New Roman"/>
          <w:b/>
          <w:color w:val="000000"/>
          <w:sz w:val="20"/>
        </w:rPr>
        <w:t>Item 8. Consolidated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together with the independent registered public accounting firm report thereon, appear at pages F-1 through F-21 respectively, of this Annual Report on Form 10-K.</w:t>
      </w:r>
    </w:p>
    <w:p>
      <w:pPr>
        <w:pStyle w:val="TextBody"/>
        <w:bidi w:val="0"/>
        <w:spacing w:before="360" w:after="283"/>
        <w:jc w:val="left"/>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bookmarkStart w:id="17" w:name="item_9a_controls_procedures"/>
      <w:bookmarkEnd w:id="17"/>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and limitations of disclosure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Officer and Principal Financial Officer, evaluated the effectiveness of our disclosure controls and procedures (as defined in Exchange Act Rules 13a-15(e) and 15d-15(e)) as of December 31, 2025. Based upon the evaluation, our Principal Executive Officer and Principal Financial Officer concluded that, as of December 31, 2025, our disclosure controls and procedures were not effective at a reasonable assurance level as a result of the material weakness that existed in our internal control over financial reporting, as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our Principal Executive Officer and Principal Financial Officer, has concluded that, notwithstanding the identified material weakness in our internal control over financial reporting, the consolidated financial statements in this Annual Report on Form 10-K fairly present, in all material respects, our financial position, results of operations and cash flows for the periods presented in conformity with U.S. GAAP.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assessed the effectiveness of our internal control over financial reporting as of December 31, 2025. In making this assessment, management used the criteria set forth by the Committee of Sponsoring Organizations of the Treadway Commission (COSO) in Internal Control-Integrated Framework (2013). Based on this assessment, management concluded that, as a result of the material weakness that existed as of December 31, 2025, our internal control over financial reporting was not effective as of December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preparing our condensed consolidated financial statements for the year ended December 31, 2024, management identified a material weakness in internal control over financial reporting. Specifically, we did not design an effective internal information and communication process relating to significant and non-routine transactions to ensure that relevant and reliable information was communicated on a timely basis across the organization, to enable financial personnel to effectively carry out their financial reporting and internal control roles and responsibilities. The failure, relating to significant and non-routine transactions, resulted in a misstatement of our warrant liabilities, transaction costs, change in fair value of warrant liabilities, additional paid-in-capital, accumulated deficit and certain related financial disclosures. This material weakness resulted in the correction of our consolidated financial statements as of and for the year ended December 31, 2023, and for the quarterly periods ended March 31, 2024 and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our annual report on Form 10-K for the fiscal year ended December 31, 2024, management has designed a plan and is prepared to execute remediation actions to address the material weakness, however we have not had an instance of a significant and non-routine transaction in order to test the effectiveness of the remediation actions taken to date. As a result, the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weakness continues to be present as of December 31, 2025. The material weakness cannot be considered remediated until the applicable remedial controls operate for a sufficient period of time and management has concluded, through testing, that these controls are operating effectively.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not been any changes in the Company's internal control over financial reporting (as defined in Exchange Act Rules 13a-15(f) and 15d-15(f)) during the quarter ended December 31, 2025 that have materially affected, or are reasonably likely to materially affect, the Company's internal control over financial reporting.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on the Effectiveness of Controls</w:t>
      </w:r>
    </w:p>
    <w:p>
      <w:pPr>
        <w:pStyle w:val="TextBody"/>
        <w:bidi w:val="0"/>
        <w:spacing w:before="120" w:after="283"/>
        <w:jc w:val="left"/>
        <w:rPr>
          <w:rFonts w:ascii="Times New Roman" w:hAnsi="Times New Roman"/>
          <w:color w:val="000000"/>
          <w:sz w:val="20"/>
        </w:rPr>
      </w:pPr>
      <w:bookmarkStart w:id="18" w:name="item9at"/>
      <w:bookmarkEnd w:id="18"/>
      <w:r>
        <w:rPr>
          <w:rFonts w:ascii="Times New Roman" w:hAnsi="Times New Roman"/>
          <w:color w:val="000000"/>
          <w:sz w:val="20"/>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360" w:after="283"/>
        <w:jc w:val="left"/>
        <w:rPr>
          <w:rFonts w:ascii="Times New Roman" w:hAnsi="Times New Roman"/>
          <w:sz w:val="20"/>
        </w:rPr>
      </w:pPr>
      <w:bookmarkStart w:id="19" w:name="item_9b_or_information"/>
      <w:bookmarkEnd w:id="19"/>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 ended December 31, 2025,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pStyle w:val="TextBody"/>
        <w:bidi w:val="0"/>
        <w:spacing w:before="360" w:after="283"/>
        <w:jc w:val="left"/>
        <w:rPr>
          <w:rFonts w:ascii="Times New Roman" w:hAnsi="Times New Roman"/>
          <w:sz w:val="20"/>
        </w:rPr>
      </w:pPr>
      <w:bookmarkStart w:id="20" w:name="item_9c_disclosureforeignjurisdictions"/>
      <w:bookmarkEnd w:id="20"/>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sz w:val="20"/>
        </w:rPr>
      </w:pPr>
      <w:bookmarkStart w:id="22" w:name="item_10_directors_executive_ficers_corpo"/>
      <w:bookmarkEnd w:id="22"/>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2026 Annual Meeting of Stockholders.</w:t>
      </w:r>
    </w:p>
    <w:p>
      <w:pPr>
        <w:pStyle w:val="TextBody"/>
        <w:bidi w:val="0"/>
        <w:spacing w:before="360" w:after="283"/>
        <w:jc w:val="left"/>
        <w:rPr>
          <w:rFonts w:ascii="Times New Roman" w:hAnsi="Times New Roman"/>
          <w:sz w:val="20"/>
        </w:rPr>
      </w:pPr>
      <w:bookmarkStart w:id="23" w:name="item_11_executive_compensation"/>
      <w:bookmarkEnd w:id="23"/>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response to this item is incorporated by reference from the discussion responsive thereto under the caption “Executive Officer and Director Compensation” in the Company’s Proxy Statement for the 2026 Annual Meeting of Stockholders.</w:t>
      </w:r>
    </w:p>
    <w:p>
      <w:pPr>
        <w:pStyle w:val="TextBody"/>
        <w:bidi w:val="0"/>
        <w:spacing w:before="360" w:after="283"/>
        <w:jc w:val="left"/>
        <w:rPr>
          <w:rFonts w:ascii="Times New Roman" w:hAnsi="Times New Roman"/>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25" w:name="item13"/>
      <w:bookmarkEnd w:id="25"/>
      <w:r>
        <w:rPr>
          <w:rFonts w:ascii="Times New Roman" w:hAnsi="Times New Roman"/>
          <w:color w:val="000000"/>
          <w:sz w:val="20"/>
        </w:rPr>
        <w:t>The response to this item is incorporated by reference from the discussion responsive thereto under the caption “Security Ownership of Certain Beneficial Owners and Management” in the Company’s Proxy Statement for the 2026 Annual Meeting of Stockholders.</w:t>
      </w:r>
    </w:p>
    <w:p>
      <w:pPr>
        <w:pStyle w:val="TextBody"/>
        <w:bidi w:val="0"/>
        <w:spacing w:before="360" w:after="283"/>
        <w:jc w:val="left"/>
        <w:rPr>
          <w:rFonts w:ascii="Times New Roman" w:hAnsi="Times New Roman"/>
          <w:sz w:val="20"/>
        </w:rPr>
      </w:pPr>
      <w:bookmarkStart w:id="26" w:name="item_13_certain_relationships_related_tr"/>
      <w:bookmarkEnd w:id="26"/>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27" w:name="item14"/>
      <w:bookmarkEnd w:id="27"/>
      <w:r>
        <w:rPr>
          <w:rFonts w:ascii="Times New Roman" w:hAnsi="Times New Roman"/>
          <w:color w:val="000000"/>
          <w:sz w:val="20"/>
        </w:rPr>
        <w:t>The response to this item is incorporated by reference from the discussion responsive thereto under the captions “Certain Relationships and Related Person Transactions” and “Management and Corporate Governance” in the Company’s Proxy Statement for the 2026 Annual Meeting of Stockholders.</w:t>
      </w:r>
    </w:p>
    <w:p>
      <w:pPr>
        <w:pStyle w:val="TextBody"/>
        <w:bidi w:val="0"/>
        <w:spacing w:before="360" w:after="283"/>
        <w:jc w:val="left"/>
        <w:rPr>
          <w:rFonts w:ascii="Times New Roman" w:hAnsi="Times New Roman"/>
          <w:sz w:val="20"/>
        </w:rPr>
      </w:pPr>
      <w:bookmarkStart w:id="28" w:name="item_14_principal_accounting_fees_servic"/>
      <w:bookmarkEnd w:id="28"/>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response to this item is incorporated by reference from the discussion responsive thereto under the caption “Independent Registered Public Accounting Firm” in the Company’s Proxy Statement for the 2026 Annual Meeting of Stockholders.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9" w:name="part_iv"/>
      <w:bookmarkEnd w:id="2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item_15_exhibits_financial_statement_sch"/>
      <w:bookmarkEnd w:id="30"/>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Item 15(a). </w:t>
      </w:r>
      <w:r>
        <w:rPr>
          <w:rFonts w:ascii="Times New Roman" w:hAnsi="Times New Roman"/>
          <w:color w:val="000000"/>
          <w:sz w:val="20"/>
        </w:rPr>
        <w:t>The following documents are filed as part of this Annual Report on Form 10-K:</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Item 15(a)(1) and (2) </w:t>
      </w:r>
      <w:r>
        <w:rPr>
          <w:rFonts w:ascii="Times New Roman" w:hAnsi="Times New Roman"/>
          <w:color w:val="000000"/>
          <w:sz w:val="20"/>
        </w:rPr>
        <w:t>See “Consolidated Financial Statements and Supplementary Data” at Item 8 to this Annual Report on Form 10-K. Other financial statement schedules have not been included because they are not applicable, or the information is included in the financial statements or notes thereto.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Item 15(a)(3) </w:t>
      </w:r>
      <w:r>
        <w:rPr>
          <w:rFonts w:ascii="Times New Roman" w:hAnsi="Times New Roman"/>
          <w:color w:val="000000"/>
          <w:sz w:val="20"/>
        </w:rPr>
        <w:t>The following exhibits are filed as part of, or incorporated by reference into,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6042"/>
        <w:gridCol w:w="654"/>
        <w:gridCol w:w="1159"/>
        <w:gridCol w:w="723"/>
        <w:gridCol w:w="921"/>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6042" w:type="dxa"/>
            <w:tcBorders/>
            <w:shd w:fill="FFFFFF" w:val="clear"/>
            <w:vAlign w:val="center"/>
          </w:tcPr>
          <w:p>
            <w:pPr>
              <w:pStyle w:val="TableContents"/>
              <w:bidi w:val="0"/>
              <w:spacing w:before="0" w:after="283"/>
              <w:jc w:val="left"/>
              <w:rPr>
                <w:sz w:val="4"/>
                <w:szCs w:val="4"/>
              </w:rPr>
            </w:pPr>
            <w:r>
              <w:rPr>
                <w:sz w:val="4"/>
                <w:szCs w:val="4"/>
              </w:rPr>
            </w:r>
          </w:p>
        </w:tc>
        <w:tc>
          <w:tcPr>
            <w:tcW w:w="654" w:type="dxa"/>
            <w:tcBorders/>
            <w:shd w:fill="FFFFFF" w:val="clear"/>
            <w:vAlign w:val="center"/>
          </w:tcPr>
          <w:p>
            <w:pPr>
              <w:pStyle w:val="TableContents"/>
              <w:bidi w:val="0"/>
              <w:spacing w:before="0" w:after="283"/>
              <w:jc w:val="left"/>
              <w:rPr>
                <w:sz w:val="4"/>
                <w:szCs w:val="4"/>
              </w:rPr>
            </w:pPr>
            <w:r>
              <w:rPr>
                <w:sz w:val="4"/>
                <w:szCs w:val="4"/>
              </w:rPr>
            </w:r>
          </w:p>
        </w:tc>
        <w:tc>
          <w:tcPr>
            <w:tcW w:w="1159"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60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15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2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9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and Reorganization, dated as of May 15, 2017, by and among Mirna Therapeutics, Inc., Meerkat Merger Sub, Inc. and Synlogic, Inc.</w:t>
              </w:r>
            </w:hyperlink>
            <w:hyperlink r:id="rId3">
              <w:r>
                <w:rPr>
                  <w:rStyle w:val="InternetLink"/>
                  <w:rFonts w:ascii="Times New Roman" w:hAnsi="Times New Roman"/>
                  <w:color w:val="0000FF"/>
                  <w:sz w:val="20"/>
                </w:rPr>
                <w:t xml:space="preserve"> </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2.1)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05/16/2017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w:t>
              </w:r>
            </w:hyperlink>
            <w:r>
              <w:rPr>
                <w:rFonts w:ascii="Times New Roman" w:hAnsi="Times New Roman"/>
                <w:color w:val="000000"/>
                <w:sz w:val="20"/>
              </w:rPr>
              <w:t xml:space="preserve">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(Reverse Stock Split) to the Amended and Restated Certificate of Incorporation, dated August 25, 2017</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(Name Change) to the Amended and Restated Certificate of Incorporation</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to the Amended and Restated Certificate of Incorporation of Synlogic, Inc., dated June 15, 2023</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8-K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(Reverse Stock Split) to the Amended and Restated Certificate of Incorporation of Synlogic, Inc., dated September 27, 2023</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8-K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3.7</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Designation of Series A Junior Participating Preferred Stock of Synlogic, Inc., as filed with the Secretary of State of the State of Delaware on February 20, 2024.</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2/20/2024</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Stock Certificate</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Pre-Funded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06/12/2019</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Pre-Funded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9/29/2023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Purchase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9/29/2023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Description of Securities</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4.3)</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03/12/2020</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06"/>
        <w:gridCol w:w="5844"/>
        <w:gridCol w:w="664"/>
        <w:gridCol w:w="1265"/>
        <w:gridCol w:w="773"/>
        <w:gridCol w:w="9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5844" w:type="dxa"/>
            <w:tcBorders/>
            <w:shd w:fill="FFFFFF" w:val="clear"/>
            <w:vAlign w:val="center"/>
          </w:tcPr>
          <w:p>
            <w:pPr>
              <w:pStyle w:val="TableContents"/>
              <w:bidi w:val="0"/>
              <w:spacing w:before="0" w:after="283"/>
              <w:jc w:val="left"/>
              <w:rPr>
                <w:sz w:val="4"/>
                <w:szCs w:val="4"/>
              </w:rPr>
            </w:pPr>
            <w:r>
              <w:rPr>
                <w:sz w:val="4"/>
                <w:szCs w:val="4"/>
              </w:rPr>
            </w:r>
          </w:p>
        </w:tc>
        <w:tc>
          <w:tcPr>
            <w:tcW w:w="664" w:type="dxa"/>
            <w:tcBorders/>
            <w:shd w:fill="FFFFFF" w:val="clear"/>
            <w:vAlign w:val="center"/>
          </w:tcPr>
          <w:p>
            <w:pPr>
              <w:pStyle w:val="TableContents"/>
              <w:bidi w:val="0"/>
              <w:spacing w:before="0" w:after="283"/>
              <w:jc w:val="left"/>
              <w:rPr>
                <w:sz w:val="4"/>
                <w:szCs w:val="4"/>
              </w:rPr>
            </w:pPr>
            <w:r>
              <w:rPr>
                <w:sz w:val="4"/>
                <w:szCs w:val="4"/>
              </w:rPr>
            </w:r>
          </w:p>
        </w:tc>
        <w:tc>
          <w:tcPr>
            <w:tcW w:w="1265"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9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6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2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7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95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03/20/2018</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Stock Option Grant Notice and Stock Option Agreement under the 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10.9(B))</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Restricted Stock Award Agreement and Restricted Stock Unit Award Grant Notice under the 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10.9(C))</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2017 Stock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10.4)</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03/20/2018</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Stock Option Grant Notice and Stock Option Agreement under 2017 Stock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10.17)</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11/13/2017</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2023 Inducement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Stock Option Grant Notice and Stock Option Agreement under 2023 Inducement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10.7)</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Non</w:t>
                <w:noBreakHyphen/>
                <w:t>Employee Director Compensation Program.</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01/31/2020</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Indemnification Agreement between the Company and each of its directors and officers</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Separation Agreement by and between Synlogic, Inc. and Antoine Awad, dated as of December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jc w:val="center"/>
              <w:rPr>
                <w:rFonts w:ascii="Times New Roman" w:hAnsi="Times New Roman"/>
                <w:color w:val="000000"/>
                <w:sz w:val="20"/>
              </w:rPr>
            </w:pPr>
            <w:r>
              <w:rPr>
                <w:rFonts w:ascii="Times New Roman" w:hAnsi="Times New Roman"/>
                <w:color w:val="000000"/>
                <w:sz w:val="20"/>
              </w:rPr>
              <w:t>(Exhibit 10.10)</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03/06/2025</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Consulting Agreement by and between Synlogic, Inc. and Antoine Awad, dated as of December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jc w:val="center"/>
              <w:rPr>
                <w:rFonts w:ascii="Times New Roman" w:hAnsi="Times New Roman"/>
                <w:color w:val="000000"/>
                <w:sz w:val="20"/>
              </w:rPr>
            </w:pPr>
            <w:r>
              <w:rPr>
                <w:rFonts w:ascii="Times New Roman" w:hAnsi="Times New Roman"/>
                <w:color w:val="000000"/>
                <w:sz w:val="20"/>
              </w:rPr>
              <w:t>(Exhibit 10.11)</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03/06/2025</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Amended Employment Letter Agreement by and between Synlogic, Inc. and Mary Beth Dooley, dated as of December 19,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jc w:val="center"/>
              <w:rPr>
                <w:rFonts w:ascii="Times New Roman" w:hAnsi="Times New Roman"/>
                <w:color w:val="000000"/>
                <w:sz w:val="20"/>
              </w:rPr>
            </w:pPr>
            <w:r>
              <w:rPr>
                <w:rFonts w:ascii="Times New Roman" w:hAnsi="Times New Roman"/>
                <w:color w:val="000000"/>
                <w:sz w:val="20"/>
              </w:rPr>
              <w:t>(Exhibit 10.12)</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03/06/2025</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Separation Agreement by and between Synlogic, Inc. and Aoife M. Brennan, MB, BCh, BAO, MMSc, dated as of February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License Agreement by and between Synlogic, Inc. and Synlogic IBDCo, Inc., dated as of July 16, 2015</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Synlogic, Inc. 2015 Employee Stock Purchase Plan, as amended</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12/20/2019</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Termination Agreement by and between BMR-Rogers Street LLC and Synlogic, Inc.</w:t>
              </w:r>
            </w:hyperlink>
            <w:hyperlink r:id="rId32">
              <w:r>
                <w:rPr>
                  <w:rStyle w:val="InternetLink"/>
                  <w:rFonts w:ascii="Times New Roman" w:hAnsi="Times New Roman"/>
                  <w:color w:val="0000FF"/>
                  <w:sz w:val="20"/>
                </w:rPr>
                <w:t xml:space="preserve"> </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08/08/2024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10.19#</w:t>
            </w:r>
          </w:p>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Synlogic, Inc. 2025 Equity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jc w:val="center"/>
              <w:rPr>
                <w:rFonts w:ascii="Times New Roman" w:hAnsi="Times New Roman"/>
                <w:color w:val="000000"/>
                <w:sz w:val="20"/>
              </w:rPr>
            </w:pPr>
            <w:r>
              <w:rPr>
                <w:rFonts w:ascii="Times New Roman" w:hAnsi="Times New Roman"/>
                <w:color w:val="000000"/>
                <w:sz w:val="20"/>
              </w:rPr>
              <w:t>(Exhibit 10.1)</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12/15/2025</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w:anchor="sybx-ex19_1.htm">
              <w:r>
                <w:rPr>
                  <w:rStyle w:val="InternetLink"/>
                  <w:rFonts w:ascii="Times New Roman" w:hAnsi="Times New Roman"/>
                  <w:color w:val="0000FF"/>
                  <w:sz w:val="20"/>
                  <w:u w:val="single"/>
                </w:rPr>
                <w:t>Synlogic's Insider Trading Policy</w:t>
              </w:r>
            </w:hyperlink>
            <w:hyperlink w:anchor="sybx-ex19_1.htm">
              <w:r>
                <w:rPr>
                  <w:rStyle w:val="InternetLink"/>
                  <w:rFonts w:ascii="Times New Roman" w:hAnsi="Times New Roman"/>
                  <w:color w:val="0000FF"/>
                  <w:sz w:val="20"/>
                </w:rPr>
                <w:t xml:space="preserve"> </w:t>
              </w:r>
            </w:hyperlink>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65"/>
        <w:gridCol w:w="6330"/>
        <w:gridCol w:w="657"/>
        <w:gridCol w:w="1166"/>
        <w:gridCol w:w="526"/>
        <w:gridCol w:w="761"/>
      </w:tblGrid>
      <w:tr>
        <w:trPr/>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6330"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shd w:fill="FFFFFF" w:val="clear"/>
            <w:vAlign w:val="center"/>
          </w:tcPr>
          <w:p>
            <w:pPr>
              <w:pStyle w:val="TableContents"/>
              <w:bidi w:val="0"/>
              <w:spacing w:before="0" w:after="283"/>
              <w:jc w:val="left"/>
              <w:rPr>
                <w:sz w:val="4"/>
                <w:szCs w:val="4"/>
              </w:rPr>
            </w:pPr>
            <w:r>
              <w:rPr>
                <w:sz w:val="4"/>
                <w:szCs w:val="4"/>
              </w:rPr>
            </w:r>
          </w:p>
        </w:tc>
        <w:tc>
          <w:tcPr>
            <w:tcW w:w="116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r>
      <w:tr>
        <w:trPr/>
        <w:tc>
          <w:tcPr>
            <w:tcW w:w="7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63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5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1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5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7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330" w:type="dxa"/>
            <w:tcBorders/>
            <w:tcMar>
              <w:top w:w="0" w:type="dxa"/>
              <w:left w:w="0" w:type="dxa"/>
              <w:bottom w:w="0" w:type="dxa"/>
              <w:right w:w="0" w:type="dxa"/>
            </w:tcMar>
            <w:vAlign w:val="center"/>
          </w:tcPr>
          <w:p>
            <w:pPr>
              <w:pStyle w:val="TableContents"/>
              <w:bidi w:val="0"/>
              <w:spacing w:before="0" w:after="283"/>
              <w:jc w:val="left"/>
              <w:rPr/>
            </w:pPr>
            <w:hyperlink w:anchor="sybx-ex21_1.htm">
              <w:r>
                <w:rPr>
                  <w:rStyle w:val="InternetLink"/>
                  <w:rFonts w:ascii="Times New Roman" w:hAnsi="Times New Roman"/>
                  <w:color w:val="0000FF"/>
                  <w:sz w:val="20"/>
                  <w:u w:val="single"/>
                </w:rPr>
                <w:t>Subsidiaries of the registrant</w:t>
              </w:r>
            </w:hyperlink>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330" w:type="dxa"/>
            <w:tcBorders/>
            <w:tcMar>
              <w:top w:w="0" w:type="dxa"/>
              <w:left w:w="0" w:type="dxa"/>
              <w:bottom w:w="0" w:type="dxa"/>
              <w:right w:w="0" w:type="dxa"/>
            </w:tcMar>
            <w:vAlign w:val="center"/>
          </w:tcPr>
          <w:p>
            <w:pPr>
              <w:pStyle w:val="TableContents"/>
              <w:bidi w:val="0"/>
              <w:spacing w:before="0" w:after="283"/>
              <w:jc w:val="left"/>
              <w:rPr/>
            </w:pPr>
            <w:hyperlink w:anchor="sybx-ex23_1.htm">
              <w:r>
                <w:rPr>
                  <w:rStyle w:val="InternetLink"/>
                  <w:rFonts w:ascii="Times New Roman" w:hAnsi="Times New Roman"/>
                  <w:color w:val="0000FF"/>
                  <w:sz w:val="20"/>
                  <w:u w:val="single"/>
                </w:rPr>
                <w:t>Consent of Independent Registered Public Accounting Firm</w:t>
              </w:r>
            </w:hyperlink>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6330"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in the signature page hereto)</w:t>
              </w:r>
            </w:hyperlink>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330" w:type="dxa"/>
            <w:tcBorders/>
            <w:tcMar>
              <w:top w:w="0" w:type="dxa"/>
              <w:left w:w="0" w:type="dxa"/>
              <w:bottom w:w="0" w:type="dxa"/>
              <w:right w:w="0" w:type="dxa"/>
            </w:tcMar>
            <w:vAlign w:val="center"/>
          </w:tcPr>
          <w:p>
            <w:pPr>
              <w:pStyle w:val="TableContents"/>
              <w:bidi w:val="0"/>
              <w:spacing w:before="0" w:after="283"/>
              <w:jc w:val="left"/>
              <w:rPr/>
            </w:pPr>
            <w:hyperlink w:anchor="sybx-ex31_1.htm">
              <w:r>
                <w:rPr>
                  <w:rStyle w:val="InternetLink"/>
                  <w:rFonts w:ascii="Times New Roman" w:hAnsi="Times New Roman"/>
                  <w:color w:val="0000FF"/>
                  <w:sz w:val="20"/>
                  <w:u w:val="single"/>
                </w:rPr>
                <w:t>Certification of Chief Executive Officer required by Rule 13a-14(a) or Rule 15d-14(a).</w:t>
              </w:r>
            </w:hyperlink>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330" w:type="dxa"/>
            <w:tcBorders/>
            <w:tcMar>
              <w:top w:w="0" w:type="dxa"/>
              <w:left w:w="0" w:type="dxa"/>
              <w:bottom w:w="0" w:type="dxa"/>
              <w:right w:w="0" w:type="dxa"/>
            </w:tcMar>
            <w:vAlign w:val="center"/>
          </w:tcPr>
          <w:p>
            <w:pPr>
              <w:pStyle w:val="TableContents"/>
              <w:bidi w:val="0"/>
              <w:spacing w:before="0" w:after="283"/>
              <w:jc w:val="left"/>
              <w:rPr/>
            </w:pPr>
            <w:hyperlink w:anchor="sybx-ex31_2.htm">
              <w:r>
                <w:rPr>
                  <w:rStyle w:val="InternetLink"/>
                  <w:rFonts w:ascii="Times New Roman" w:hAnsi="Times New Roman"/>
                  <w:color w:val="0000FF"/>
                  <w:sz w:val="20"/>
                  <w:u w:val="single"/>
                </w:rPr>
                <w:t>Certification of Chief Financial Officer required by Rule 13a-14(a) or Rule 15d-14(a).</w:t>
              </w:r>
            </w:hyperlink>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6330" w:type="dxa"/>
            <w:tcBorders/>
            <w:tcMar>
              <w:top w:w="0" w:type="dxa"/>
              <w:left w:w="0" w:type="dxa"/>
              <w:bottom w:w="0" w:type="dxa"/>
              <w:right w:w="0" w:type="dxa"/>
            </w:tcMar>
            <w:vAlign w:val="center"/>
          </w:tcPr>
          <w:p>
            <w:pPr>
              <w:pStyle w:val="TableContents"/>
              <w:bidi w:val="0"/>
              <w:spacing w:before="0" w:after="283"/>
              <w:jc w:val="left"/>
              <w:rPr/>
            </w:pPr>
            <w:hyperlink w:anchor="sybx-ex32.htm">
              <w:r>
                <w:rPr>
                  <w:rStyle w:val="InternetLink"/>
                  <w:rFonts w:ascii="Times New Roman" w:hAnsi="Times New Roman"/>
                  <w:color w:val="0000FF"/>
                  <w:sz w:val="20"/>
                  <w:u w:val="single"/>
                </w:rPr>
                <w:t>Certification required by Rule 13a-14(b) or Rule 15d-14(b) and Section 1350 of Chapter 63 of Title 18 of the United States Code (18 U.S.C. §1350).</w:t>
              </w:r>
            </w:hyperlink>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330" w:type="dxa"/>
            <w:tcBorders/>
            <w:tcMar>
              <w:top w:w="0" w:type="dxa"/>
              <w:left w:w="0" w:type="dxa"/>
              <w:bottom w:w="0" w:type="dxa"/>
              <w:right w:w="0" w:type="dxa"/>
            </w:tcMar>
            <w:vAlign w:val="center"/>
          </w:tcPr>
          <w:p>
            <w:pPr>
              <w:pStyle w:val="TableContents"/>
              <w:bidi w:val="0"/>
              <w:spacing w:before="0" w:after="283"/>
              <w:jc w:val="left"/>
              <w:rPr/>
            </w:pPr>
            <w:hyperlink w:anchor="sybx-ex97_1.htm">
              <w:r>
                <w:rPr>
                  <w:rStyle w:val="InternetLink"/>
                  <w:rFonts w:ascii="Times New Roman" w:hAnsi="Times New Roman"/>
                  <w:color w:val="0000FF"/>
                  <w:sz w:val="20"/>
                  <w:u w:val="single"/>
                </w:rPr>
                <w:t>Synlogic's Incentive Compensation Recovery Policy</w:t>
              </w:r>
            </w:hyperlink>
            <w:hyperlink w:anchor="sybx-ex97_1.htm">
              <w:r>
                <w:rPr>
                  <w:rStyle w:val="InternetLink"/>
                  <w:rFonts w:ascii="Times New Roman" w:hAnsi="Times New Roman"/>
                  <w:color w:val="0000FF"/>
                  <w:sz w:val="20"/>
                </w:rPr>
                <w:t xml:space="preserve"> </w:t>
              </w:r>
            </w:hyperlink>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 the instance document does not appear in the Interactive Data File because XBRL tags are embedded within the Inline XBRL document.</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schedules and exhibits to this exhibit have been omitted pursuant to Item 601(b)(2) of Regulation S-K. A copy of any omitted schedule and/or exhibit will be furnished to the SEC upon request.</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plans or arrangements.</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in accordance with the rules of the SEC.</w:t>
      </w:r>
    </w:p>
    <w:p>
      <w:pPr>
        <w:pStyle w:val="TextBody"/>
        <w:bidi w:val="0"/>
        <w:spacing w:before="360" w:after="283"/>
        <w:jc w:val="left"/>
        <w:rPr>
          <w:rFonts w:ascii="Times New Roman" w:hAnsi="Times New Roman"/>
          <w:sz w:val="20"/>
        </w:rPr>
      </w:pPr>
      <w:bookmarkStart w:id="31" w:name="item16"/>
      <w:bookmarkEnd w:id="31"/>
      <w:r>
        <w:rPr>
          <w:rFonts w:ascii="Times New Roman" w:hAnsi="Times New Roman"/>
          <w:b/>
          <w:color w:val="000000"/>
          <w:sz w:val="20"/>
        </w:rPr>
        <w:t xml:space="preserve">Item 16. Form </w:t>
      </w:r>
      <w:bookmarkStart w:id="32" w:name="item_16_form_10k_summary"/>
      <w:bookmarkEnd w:id="32"/>
      <w:r>
        <w:rPr>
          <w:rFonts w:ascii="Times New Roman" w:hAnsi="Times New Roman"/>
          <w:b/>
          <w:color w:val="000000"/>
          <w:sz w:val="20"/>
        </w:rPr>
        <w:t>10-K Summ</w:t>
      </w:r>
      <w:bookmarkStart w:id="33" w:name="item16_form10k"/>
      <w:bookmarkEnd w:id="33"/>
      <w:r>
        <w:rPr>
          <w:rFonts w:ascii="Times New Roman" w:hAnsi="Times New Roman"/>
          <w:b/>
          <w:color w:val="000000"/>
          <w:sz w:val="20"/>
        </w:rPr>
        <w:t>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4" w:name="signatures"/>
      <w:bookmarkEnd w:id="34"/>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9637" w:type="dxa"/>
        <w:jc w:val="left"/>
        <w:tblInd w:w="0" w:type="dxa"/>
        <w:tblLayout w:type="fixed"/>
        <w:tblCellMar>
          <w:top w:w="28" w:type="dxa"/>
          <w:left w:w="28" w:type="dxa"/>
          <w:bottom w:w="28" w:type="dxa"/>
          <w:right w:w="28" w:type="dxa"/>
        </w:tblCellMar>
      </w:tblPr>
      <w:tblGrid>
        <w:gridCol w:w="1891"/>
        <w:gridCol w:w="109"/>
        <w:gridCol w:w="406"/>
        <w:gridCol w:w="72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Synlogic,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2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Executive Officer and 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 principal financial officer and principal accounting officer)</w:t>
            </w:r>
          </w:p>
        </w:tc>
      </w:tr>
    </w:tbl>
    <w:p>
      <w:pPr>
        <w:pStyle w:val="TextBody"/>
        <w:bidi w:val="0"/>
        <w:jc w:val="left"/>
        <w:rPr/>
      </w:pPr>
      <w:bookmarkStart w:id="35" w:name="power_of_attorney"/>
      <w:bookmarkEnd w:id="35"/>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Mary Beth Dooley their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substitutes or substitute, may lawfully do or cause to be done by virtue hereof.</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WITNESS WHEREOF, each of the undersigned has executed this Power of Attorney as of the date indicated opposite his name.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in the capacities indicated below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7"/>
        <w:gridCol w:w="146"/>
        <w:gridCol w:w="6159"/>
        <w:gridCol w:w="146"/>
        <w:gridCol w:w="1437"/>
      </w:tblGrid>
      <w:tr>
        <w:trPr/>
        <w:tc>
          <w:tcPr>
            <w:tcW w:w="2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23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i/>
                <w:color w:val="000000"/>
                <w:sz w:val="19"/>
              </w:rPr>
              <w:t>Principal Executive Officer and Principal Financial Officer</w:t>
            </w:r>
            <w:r>
              <w:rPr>
                <w:rFonts w:ascii="Times New Roman" w:hAnsi="Times New Roman"/>
                <w:color w:val="000000"/>
                <w:sz w:val="19"/>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Mary Beth Dooley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executive officer, principal financial officer and 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2026</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BARRETT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Peter Barrett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2026</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FLYNN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James Flynn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2026</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EDWARD MATHERS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Edward Mathers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2026</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P. SHEA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Richard P. Shea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2026</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 of Synlogic, Inc.</w:t>
      </w:r>
    </w:p>
    <w:p>
      <w:pPr>
        <w:pStyle w:val="TextBody"/>
        <w:bidi w:val="0"/>
        <w:jc w:val="left"/>
        <w:rPr/>
      </w:pPr>
      <w:r>
        <w:rPr/>
        <w:t> </w:t>
      </w:r>
    </w:p>
    <w:tbl>
      <w:tblPr>
        <w:tblW w:w="9272" w:type="dxa"/>
        <w:jc w:val="left"/>
        <w:tblInd w:w="0" w:type="dxa"/>
        <w:tblLayout w:type="fixed"/>
        <w:tblCellMar>
          <w:top w:w="28" w:type="dxa"/>
          <w:left w:w="28" w:type="dxa"/>
          <w:bottom w:w="28" w:type="dxa"/>
          <w:right w:w="28" w:type="dxa"/>
        </w:tblCellMar>
      </w:tblPr>
      <w:tblGrid>
        <w:gridCol w:w="8851"/>
        <w:gridCol w:w="421"/>
      </w:tblGrid>
      <w:tr>
        <w:trPr/>
        <w:tc>
          <w:tcPr>
            <w:tcW w:w="88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(KPMG LLP, Boston, MA, Auditor Firm ID: 185)</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hyperlink w:anchor="consolidated_balance_sheets">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and Comprehensive Loss</w:t>
              </w:r>
            </w:hyperlink>
            <w:hyperlink w:anchor="consolidated_statements_operations">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hyperlink w:anchor="consolidated_statements_stockholders_equ">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hyperlink w:anchor="consolidated_statements_cash_flows">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2">
              <w:r>
                <w:rPr>
                  <w:rStyle w:val="InternetLink"/>
                  <w:rFonts w:ascii="Times New Roman" w:hAnsi="Times New Roman"/>
                  <w:color w:val="0000FF"/>
                  <w:sz w:val="20"/>
                  <w:u w:val="single"/>
                </w:rPr>
                <w:t>Notes to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6" w:name="report_independent_registered_public_acc"/>
      <w:bookmarkEnd w:id="3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Board of Directors</w:t>
        <w:br/>
        <w:t>Synlogic, Inc.:</w:t>
      </w:r>
    </w:p>
    <w:p>
      <w:pPr>
        <w:pStyle w:val="TextBody"/>
        <w:bidi w:val="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Synlogic, Inc. and subsidiaries (the Company) as of December 31, 2025 and 2024,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pStyle w:val="TextBody"/>
        <w:bidi w:val="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Critical Audit Matters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pStyle w:val="TextBody"/>
        <w:bidi w:val="0"/>
        <w:spacing w:before="0" w:after="100"/>
        <w:jc w:val="left"/>
        <w:rPr/>
      </w:pPr>
      <w:r>
        <w:rPr/>
        <w:t> </w:t>
      </w:r>
    </w:p>
    <w:p>
      <w:pPr>
        <w:pStyle w:val="TextBody"/>
        <w:bidi w:val="0"/>
        <w:spacing w:before="14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Boston, Massachusetts</w:t>
        <w:br/>
        <w:t>March 12,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7" w:name="item8"/>
      <w:bookmarkEnd w:id="37"/>
      <w:r>
        <w:rPr>
          <w:rFonts w:ascii="Times New Roman" w:hAnsi="Times New Roman"/>
          <w:b/>
          <w:color w:val="000000"/>
          <w:sz w:val="20"/>
        </w:rPr>
        <w:t>SYNLOGIC, INC. AND SUBSIDIARIES</w:t>
      </w:r>
    </w:p>
    <w:p>
      <w:pPr>
        <w:pStyle w:val="TextBody"/>
        <w:bidi w:val="0"/>
        <w:spacing w:before="120" w:after="283"/>
        <w:jc w:val="center"/>
        <w:rPr>
          <w:rFonts w:ascii="Times New Roman" w:hAnsi="Times New Roman"/>
          <w:color w:val="000000"/>
          <w:sz w:val="20"/>
        </w:rPr>
      </w:pPr>
      <w:bookmarkStart w:id="38" w:name="consolidated_balance_sheets"/>
      <w:bookmarkEnd w:id="38"/>
      <w:r>
        <w:rPr>
          <w:rFonts w:ascii="Times New Roman" w:hAnsi="Times New Roman"/>
          <w:color w:val="000000"/>
          <w:sz w:val="20"/>
        </w:rPr>
        <w:t>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9"/>
        <w:gridCol w:w="146"/>
        <w:gridCol w:w="214"/>
        <w:gridCol w:w="854"/>
        <w:gridCol w:w="166"/>
        <w:gridCol w:w="146"/>
        <w:gridCol w:w="214"/>
        <w:gridCol w:w="854"/>
        <w:gridCol w:w="612"/>
      </w:tblGrid>
      <w:tr>
        <w:trPr/>
        <w:tc>
          <w:tcPr>
            <w:tcW w:w="6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19,826</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250,000,000 shares authorized as of December 31, 2025 and December 31, 2024;</w:t>
              <w:br/>
              <w:t>   11,978,711 shares issued and 11,698,919 shares outstanding as of December 31, 2025 and 11,975,901 shares issued and 11,696,109 shares outstanding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456,908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(279,792 shares at December 31, 2025 and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19,826</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39" w:name="consolidated_statements_operations"/>
      <w:bookmarkEnd w:id="39"/>
      <w:r>
        <w:rPr>
          <w:rFonts w:ascii="Times New Roman" w:hAnsi="Times New Roman"/>
          <w:color w:val="000000"/>
          <w:sz w:val="20"/>
        </w:rPr>
        <w:t>Consolidated Statements of Operations and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7913" w:type="dxa"/>
        <w:jc w:val="left"/>
        <w:tblInd w:w="0" w:type="dxa"/>
        <w:tblLayout w:type="fixed"/>
        <w:tblCellMar>
          <w:top w:w="28" w:type="dxa"/>
          <w:left w:w="28" w:type="dxa"/>
          <w:bottom w:w="28" w:type="dxa"/>
          <w:right w:w="28" w:type="dxa"/>
        </w:tblCellMar>
      </w:tblPr>
      <w:tblGrid>
        <w:gridCol w:w="4496"/>
        <w:gridCol w:w="211"/>
        <w:gridCol w:w="1036"/>
        <w:gridCol w:w="166"/>
        <w:gridCol w:w="146"/>
        <w:gridCol w:w="211"/>
        <w:gridCol w:w="1036"/>
        <w:gridCol w:w="611"/>
      </w:tblGrid>
      <w:tr>
        <w:trPr/>
        <w:tc>
          <w:tcPr>
            <w:tcW w:w="4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and other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per share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12,196,209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40" w:name="consolidated_statements_stockholders_equ"/>
      <w:bookmarkEnd w:id="40"/>
      <w:r>
        <w:rPr>
          <w:rFonts w:ascii="Times New Roman" w:hAnsi="Times New Roman"/>
          <w:color w:val="000000"/>
          <w:sz w:val="20"/>
        </w:rPr>
        <w:t>Consolidated Statements of Stockholders’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0"/>
        <w:gridCol w:w="146"/>
        <w:gridCol w:w="916"/>
        <w:gridCol w:w="166"/>
        <w:gridCol w:w="249"/>
        <w:gridCol w:w="442"/>
        <w:gridCol w:w="146"/>
        <w:gridCol w:w="196"/>
        <w:gridCol w:w="691"/>
        <w:gridCol w:w="146"/>
        <w:gridCol w:w="423"/>
        <w:gridCol w:w="748"/>
        <w:gridCol w:w="166"/>
        <w:gridCol w:w="217"/>
        <w:gridCol w:w="834"/>
        <w:gridCol w:w="166"/>
        <w:gridCol w:w="146"/>
        <w:gridCol w:w="751"/>
        <w:gridCol w:w="166"/>
        <w:gridCol w:w="196"/>
        <w:gridCol w:w="571"/>
        <w:gridCol w:w="166"/>
        <w:gridCol w:w="250"/>
        <w:gridCol w:w="844"/>
        <w:gridCol w:w="213"/>
      </w:tblGrid>
      <w:tr>
        <w:trPr/>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w:t>
              <w:br/>
              <w:t>$0.001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32,771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in connection with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41" w:name="consolidated_statements_cash_flows"/>
      <w:bookmarkEnd w:id="41"/>
      <w:r>
        <w:rPr>
          <w:rFonts w:ascii="Times New Roman" w:hAnsi="Times New Roman"/>
          <w:color w:val="000000"/>
          <w:sz w:val="20"/>
        </w:rPr>
        <w:t>Consolidated Statements of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612"/>
        <w:gridCol w:w="746"/>
        <w:gridCol w:w="202"/>
        <w:gridCol w:w="622"/>
        <w:gridCol w:w="171"/>
        <w:gridCol w:w="150"/>
        <w:gridCol w:w="202"/>
        <w:gridCol w:w="685"/>
        <w:gridCol w:w="815"/>
      </w:tblGrid>
      <w:tr>
        <w:trPr/>
        <w:tc>
          <w:tcPr>
            <w:tcW w:w="661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loss on fixed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loss on ROU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lease termination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prepaid 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Equity-based compensation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Accretion/amortization of investment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Reduction in carrying amount of operating lease right of use asset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research and development, net of current portion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and accrued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maturity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sale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finance lease obligations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in connection with at-the-market offering, net of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employee stock purchases and exercise of stock options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pre-funded warrants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(6,147</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18,910</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 right-of-use asset and operating lease liabilities due to lease termination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sales included in other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notes_to_consolidated_financial_statemen"/>
      <w:bookmarkEnd w:id="42"/>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b/>
          <w:color w:val="000000"/>
          <w:sz w:val="20"/>
        </w:rPr>
      </w:pPr>
      <w:bookmarkStart w:id="43" w:name="notes_to_consolidated_financial_stat2"/>
      <w:bookmarkEnd w:id="43"/>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Synlogic, Inc., together with its wholly owned and consolidated subsidiaries (Synlogic or the Company) is a biopharmaceutical company that previously advanced novel therapeutics to transform the care of serious diseases. The Company focused on rare metabolic disorders, with its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Since incorporation, the Company has devoted substantially all of its efforts to the research and development of its product candidates.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The Company also announced a corporate restructuring that resulted in a reduction in its workforce, leaving one remaining full-time employee. In addition, the Company has engaged consultants, to, among other things, support the strategic review process and current business operations. (see Note 7, </w:t>
      </w:r>
      <w:r>
        <w:rPr>
          <w:rFonts w:ascii="Times New Roman" w:hAnsi="Times New Roman"/>
          <w:i/>
          <w:color w:val="000000"/>
          <w:sz w:val="20"/>
        </w:rPr>
        <w:t>Restructuring and Other Charges</w:t>
      </w:r>
      <w:r>
        <w:rPr>
          <w:rFonts w:ascii="Times New Roman" w:hAnsi="Times New Roman"/>
          <w:color w:val="000000"/>
          <w:sz w:val="20"/>
        </w:rPr>
        <w:t>).</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Going Concern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$442.7 million at December 31, 2025. At December 31, 2025, the Company had $14.7 million in unrestricted cash and cash equivalents. The Company has determined its current cash and cash equivalents as of December 31, 2025 will be sufficient to fund its operations at the current levels for at least the next 12 months from the date of this filing. As the Company continues to review strategic alternatives, the Company will continue to incur costs and expenditures in connection with the process of evaluating strategic alternatives.</w:t>
      </w:r>
    </w:p>
    <w:p>
      <w:pPr>
        <w:pStyle w:val="TextBody"/>
        <w:bidi w:val="0"/>
        <w:spacing w:before="12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early-stage company, the Company is subject to a number of risks common to other life science companies, including, but not limited to, raising additional capital and protection of proprietary technology. The Company may never achieve profitability, and unless and until it does, it will continue to need to raise additional capital or obtain financing from other sources.</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(U.S.) (U.S. GAAP or GAAP).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Synlogic and its wholly owned subsidiaries. All intercompany accounts and transactions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 reported amounts of expenses during the reporting period. On an on-going basis, the Company’s management evaluates its estimates, including those related to accrued expenses and contingencies. The Company bases its estimates on historical experience and on various other assumptions that are believed to be reasonable, the results of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the basis for making judgments about the carrying values of assets and liabilities. Actual results could differ from those estimates. Changes in estimates are reflected in reported results in the period in which they become known.</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$14.7 million and $18.9 million at December 31, 2025 and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include amounts held as cash, cash equivalents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required to disclose information on all assets and liabilities reported at fair value that enables an assessment of the inputs used in determining the reported fair values. Accounting Standards Codification (ASC) Topic 820, </w:t>
      </w:r>
      <w:r>
        <w:rPr>
          <w:rFonts w:ascii="Times New Roman" w:hAnsi="Times New Roman"/>
          <w:i/>
          <w:color w:val="000000"/>
          <w:sz w:val="20"/>
        </w:rPr>
        <w:t>Fair Value Measurements and Disclosures</w:t>
      </w:r>
      <w:r>
        <w:rPr>
          <w:rFonts w:ascii="Times New Roman" w:hAnsi="Times New Roman"/>
          <w:color w:val="000000"/>
          <w:sz w:val="20"/>
        </w:rPr>
        <w:t xml:space="preserve">, establishes a fair value hierarchy for those instruments measured at fair value that distinguishes between assumptions based on market data (observable inputs) and the Company’s own assumptions (unobservable inputs). The hierarchy consists of three levels: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Utilize observable inputs such as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Utilize data points that are either directly or indirectly observable, such as quoted prices, interest rates and yield curves;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Utilize unobservable data points in which there is little or no market data, which require the Company to develop its own assumptions for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transfers between levels at the end of each reporting period. There were no transfers of assets or liabilities between Level 1, Level 2 or Level 3 during the years ended December 31, 2025 and 2024.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Impairment of Long</w:t>
        <w:noBreakHyphen/>
        <w:t>Lived Assets</w:t>
      </w:r>
    </w:p>
    <w:p>
      <w:pPr>
        <w:pStyle w:val="TextBody"/>
        <w:bidi w:val="0"/>
        <w:spacing w:before="120" w:after="283"/>
        <w:jc w:val="left"/>
        <w:rPr>
          <w:rFonts w:ascii="Times New Roman" w:hAnsi="Times New Roman"/>
          <w:sz w:val="20"/>
        </w:rPr>
      </w:pPr>
      <w:r>
        <w:rPr>
          <w:rFonts w:ascii="Times New Roman" w:hAnsi="Times New Roman"/>
          <w:color w:val="000000"/>
          <w:sz w:val="20"/>
        </w:rPr>
        <w:t>Long</w:t>
        <w:noBreakHyphen/>
        <w:t xml:space="preserve">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As a result of the corporate restructuring, further discussed in Note 7, </w:t>
      </w:r>
      <w:r>
        <w:rPr>
          <w:rFonts w:ascii="Times New Roman" w:hAnsi="Times New Roman"/>
          <w:i/>
          <w:color w:val="000000"/>
          <w:sz w:val="20"/>
        </w:rPr>
        <w:t>Restructuring and Other Charges</w:t>
      </w:r>
      <w:r>
        <w:rPr>
          <w:rFonts w:ascii="Times New Roman" w:hAnsi="Times New Roman"/>
          <w:color w:val="000000"/>
          <w:sz w:val="20"/>
        </w:rPr>
        <w:t>, there were various impairment charges recorded during the year ended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issued warrants either as a liability or equity 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(“ASC 480-10”) or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xml:space="preserve"> (“ASC 815-40”).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The Company periodically evaluates changes in facts and circumstances that could impact the classification of warrants.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w:t>
        <w:noBreakHyphen/>
        <w:t>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equity-based compensation to employees, non-employees and directors based on the grant date fair value of the awards and recognizes the associated expense in the financial statements over the requisite service period of the award, which is generally the vesting period. The fair value of each option and purchase rights under the employee stock purchase plan (ESPP) is estimated on the date of grant using the Black</w:t>
        <w:noBreakHyphen/>
        <w:t>Scholes option</w:t>
        <w:noBreakHyphen/>
        <w:t>pricing model. Expected volatility for the Company’s common stock is determined based on an average of the historical volatility of the Company and the historical volatility of a peer</w:t>
        <w:noBreakHyphen/>
        <w:t>group of similar public companies. The expected term of options granted to employees is calculated using the simplified method, which represents the average of the contractual term of the option and the weighted-average vesting period of the option. The expected term of purchase rights for the ESPP is based on the duration of an offering period. The assumed dividend yield is based upon the Company’s expectation of not paying dividends in the foreseeable future. The risk</w:t>
        <w:noBreakHyphen/>
        <w:t xml:space="preserve">free interest rate is based upon the U.S. Treasury yield curve commensurate with the expected term at the time of grant or remeasurement. Forfeitures are recognized as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equity-based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outstanding stock options and potential shares issuable under the ESPP.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 in one operating segment: discovery and development of Synthetic Biotics. The Company’s principal executive officer, as chief operating decision maker, manages and allocates resources to the operations of the Company on a total company basis. Prior to the corporate restructuring, all of the Company’s equipment, leasehold improvements and other fixed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were physically located within the United States, and all agreements with its partners were denominated in U.S. dollars, except where noted.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Treasury stock purchases are accounted for under the cost method whereby the entire cost of the acquired stock is recorded as treasury stock.</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accounting standard setting bodies that the Company adopts as of the specified effective date. Unless otherwise discussed below, recently issued pronouncements that are or will be applicable to the Company did not have, or are not expected to have, a material impact on its present or future consolidated financial statements or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or FASB, issued Accounting Standards Update, or ASU, 2023-09, Income Taxes (Topics 740): Improvements to Income Tax Disclosures, to enhance the disclosure requirements for income taxes. Upon adoption, companies will be required to disclose additional specified categories in the rate reconciliation. Companies will also be required to disclose the amount of income taxes paid disaggregated by jurisdiction, among other disclosure requirements. The standard is effective for public business entities for annual periods beginning after December 15, 2024. The Company adopted the standard during our 2025 annual period and included the required disclosures prospectively in Note 11,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tables below present information about the Company’s assets and liabilities that are measured at fair value on a recurring basis as of December 31, 2025 and 2024 and indicate the fair value hierarchy of the valuation techniques the Company utilized to determine such fair value, as described under Note 2</w:t>
      </w:r>
      <w:r>
        <w:rPr>
          <w:rFonts w:ascii="Times New Roman" w:hAnsi="Times New Roman"/>
          <w:i/>
          <w:color w:val="000000"/>
          <w:sz w:val="20"/>
        </w:rPr>
        <w:t>,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issued warrants either as derivative liabilities or as equity instruments depending on the specific terms of the agreement. 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and comprehensive loss. We periodically evaluate changes in facts and circumstances that could impact the classification of warrants. None of the purchase warrants have been exercised since their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and 2024, the Company has classified assets and liabilities measured at fair value on a recurring basis as follows (in thousands):</w:t>
      </w:r>
    </w:p>
    <w:p>
      <w:pPr>
        <w:pStyle w:val="TextBody"/>
        <w:bidi w:val="0"/>
        <w:jc w:val="left"/>
        <w:rPr/>
      </w:pPr>
      <w:r>
        <w:rPr/>
        <w:t> </w:t>
      </w:r>
    </w:p>
    <w:tbl>
      <w:tblPr>
        <w:tblW w:w="9329" w:type="dxa"/>
        <w:jc w:val="left"/>
        <w:tblInd w:w="0" w:type="dxa"/>
        <w:tblLayout w:type="fixed"/>
        <w:tblCellMar>
          <w:top w:w="28" w:type="dxa"/>
          <w:left w:w="28" w:type="dxa"/>
          <w:bottom w:w="28" w:type="dxa"/>
          <w:right w:w="28" w:type="dxa"/>
        </w:tblCellMar>
      </w:tblPr>
      <w:tblGrid>
        <w:gridCol w:w="2191"/>
        <w:gridCol w:w="146"/>
        <w:gridCol w:w="260"/>
        <w:gridCol w:w="835"/>
        <w:gridCol w:w="146"/>
        <w:gridCol w:w="146"/>
        <w:gridCol w:w="431"/>
        <w:gridCol w:w="1384"/>
        <w:gridCol w:w="146"/>
        <w:gridCol w:w="146"/>
        <w:gridCol w:w="539"/>
        <w:gridCol w:w="886"/>
        <w:gridCol w:w="146"/>
        <w:gridCol w:w="146"/>
        <w:gridCol w:w="428"/>
        <w:gridCol w:w="1162"/>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equivalents, prepaid expenses and other current assets, accounts payable and accrued expenses at December 31, 2025 and December 31, 2024 are carried at amounts that approximate fair value due to their short-term maturities.</w:t>
      </w:r>
    </w:p>
    <w:p>
      <w:pPr>
        <w:pStyle w:val="TextBody"/>
        <w:bidi w:val="0"/>
        <w:spacing w:before="4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Assumptions Used in Determining Fair Value of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assumptions used in the Black-Scholes option-pricing model for the purchase warrants on the consolidated balance sheets at December 31, 2025 and December 31, 2024 are included below:</w:t>
      </w:r>
    </w:p>
    <w:p>
      <w:pPr>
        <w:pStyle w:val="TextBody"/>
        <w:bidi w:val="0"/>
        <w:spacing w:before="120" w:after="283"/>
        <w:jc w:val="left"/>
        <w:rPr/>
      </w:pPr>
      <w:r>
        <w:rPr/>
        <w:t> </w:t>
      </w:r>
    </w:p>
    <w:tbl>
      <w:tblPr>
        <w:tblW w:w="7210" w:type="dxa"/>
        <w:jc w:val="left"/>
        <w:tblInd w:w="0" w:type="dxa"/>
        <w:tblLayout w:type="fixed"/>
        <w:tblCellMar>
          <w:top w:w="28" w:type="dxa"/>
          <w:left w:w="28" w:type="dxa"/>
          <w:bottom w:w="28" w:type="dxa"/>
          <w:right w:w="28" w:type="dxa"/>
        </w:tblCellMar>
      </w:tblPr>
      <w:tblGrid>
        <w:gridCol w:w="3331"/>
        <w:gridCol w:w="146"/>
        <w:gridCol w:w="467"/>
        <w:gridCol w:w="1033"/>
        <w:gridCol w:w="271"/>
        <w:gridCol w:w="146"/>
        <w:gridCol w:w="467"/>
        <w:gridCol w:w="1033"/>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Assets Held for Sale,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held for sale are summarized as follows (in thousands):</w:t>
      </w:r>
    </w:p>
    <w:p>
      <w:pPr>
        <w:pStyle w:val="TextBody"/>
        <w:bidi w:val="0"/>
        <w:spacing w:before="120" w:after="283"/>
        <w:jc w:val="left"/>
        <w:rPr/>
      </w:pPr>
      <w:r>
        <w:rPr/>
        <w:t> </w:t>
      </w:r>
    </w:p>
    <w:tbl>
      <w:tblPr>
        <w:tblW w:w="4901" w:type="dxa"/>
        <w:jc w:val="left"/>
        <w:tblInd w:w="0" w:type="dxa"/>
        <w:tblLayout w:type="fixed"/>
        <w:tblCellMar>
          <w:top w:w="28" w:type="dxa"/>
          <w:left w:w="28" w:type="dxa"/>
          <w:bottom w:w="28" w:type="dxa"/>
          <w:right w:w="28" w:type="dxa"/>
        </w:tblCellMar>
      </w:tblPr>
      <w:tblGrid>
        <w:gridCol w:w="1936"/>
        <w:gridCol w:w="146"/>
        <w:gridCol w:w="413"/>
        <w:gridCol w:w="682"/>
        <w:gridCol w:w="146"/>
        <w:gridCol w:w="146"/>
        <w:gridCol w:w="146"/>
        <w:gridCol w:w="437"/>
        <w:gridCol w:w="658"/>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committed to a plan to sell its remaining lab equipment and engaged a third party to assist with the auction, which was completed during the second quarter of 2025, and resulted in proceeds of $0.2 million and a $0.08 million gain on disposal of assets held for sale during the year ended December 31, 2025. The assets held for sale were reported at the lower of the carrying amount or fair value, less costs to sell. During the year ended December 31, 2024, there were impairment charges of $0.8 million incurred related to the lab equipment classified as assets held for sale, which was included in restructuring and other charges. The auction resulted in proceeds of $1.3 million and a $1.2 million gain on disposal of lab equipment during the year ended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on property and equipment was $0.0 million and $0.3 million in 2025 and 2024, respectively.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6750" w:type="dxa"/>
        <w:jc w:val="left"/>
        <w:tblInd w:w="0" w:type="dxa"/>
        <w:tblLayout w:type="fixed"/>
        <w:tblCellMar>
          <w:top w:w="28" w:type="dxa"/>
          <w:left w:w="28" w:type="dxa"/>
          <w:bottom w:w="28" w:type="dxa"/>
          <w:right w:w="28" w:type="dxa"/>
        </w:tblCellMar>
      </w:tblPr>
      <w:tblGrid>
        <w:gridCol w:w="3931"/>
        <w:gridCol w:w="146"/>
        <w:gridCol w:w="364"/>
        <w:gridCol w:w="731"/>
        <w:gridCol w:w="146"/>
        <w:gridCol w:w="146"/>
        <w:gridCol w:w="364"/>
        <w:gridCol w:w="73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4830" w:type="dxa"/>
        <w:jc w:val="left"/>
        <w:tblInd w:w="0" w:type="dxa"/>
        <w:tblLayout w:type="fixed"/>
        <w:tblCellMar>
          <w:top w:w="28" w:type="dxa"/>
          <w:left w:w="28" w:type="dxa"/>
          <w:bottom w:w="28" w:type="dxa"/>
          <w:right w:w="28" w:type="dxa"/>
        </w:tblCellMar>
      </w:tblPr>
      <w:tblGrid>
        <w:gridCol w:w="2011"/>
        <w:gridCol w:w="146"/>
        <w:gridCol w:w="364"/>
        <w:gridCol w:w="731"/>
        <w:gridCol w:w="146"/>
        <w:gridCol w:w="146"/>
        <w:gridCol w:w="294"/>
        <w:gridCol w:w="80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and its board of directors decided to discontinue the Synpheny-3 trial and as a result are currently evaluating strategic options for the Company with a goal to enhance stockholder value, including the possibility of a merger or sale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announced a corporate restructuring that included a reduction in its workforce, leaving one remaining full-time employee. In addition, the Company has engaged consultants, to, among other things, support the strategic review process and current business operations. In connection with the corporate restructuring, the Company recorded restructuring charges for severance and related costs of $0.24 million and $6.2 million during the years ended December 31, 2025 and December 31, 2024, respectively. The Company also executed consulting agreements during the year ended December 31, 2024, with a select number of former employees in which their equity continues to vest under the terms of the original award. The consulting services were determined to be non-substantive and as a result, the Company has accelerated the related stock compensation expense. There was no acceleration of stock compensation expense for the year ended December 31, 2025 and there was $2.4 million of stock compensation included in restructuring charges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Restructuring and other charges also included gains on equipment sales of $0.08 million and $1.2 million during the years ended December 31, 2025 and December 31, 2024, respectively. For the year ended December 31, 2024, restructuring and other charges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included impairment of the right-of-use assets associated with the Company's leased spaces of $9.6 million and impairment of property and equipment of $5.0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corporate restructuring, on June 26, 2024 (the “Termination Date”), the Company entered into a Lease Termination Agreement (the “Termination Agreement”) for its corporate headquarters in Cambridge, Massachusetts, with the landlord which, effective immediately, terminated the lease. In exchange for the early termination of the lease pursuant to the Termination Agreement, the Company made a total termination payment of $10.6 million, of which $1.0 million was from a letter of credit associated with the lease. The Company also recorded a gain on lease termination, associated with its former headquarters, of $3.2 million, for the year ended December 31,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charges relating to the restructuring include a $5.2 million charge to impairment for prepaid research and development in relation to the Ginkgo collaboration (See Note 11, </w:t>
      </w:r>
      <w:r>
        <w:rPr>
          <w:rFonts w:ascii="Times New Roman" w:hAnsi="Times New Roman"/>
          <w:i/>
          <w:color w:val="000000"/>
          <w:sz w:val="20"/>
        </w:rPr>
        <w:t xml:space="preserve">Collaboration Agreements, </w:t>
      </w:r>
      <w:r>
        <w:rPr>
          <w:rFonts w:ascii="Times New Roman" w:hAnsi="Times New Roman"/>
          <w:color w:val="000000"/>
          <w:sz w:val="20"/>
        </w:rPr>
        <w:t xml:space="preserve">in the audited financial statements included in the 2024 Annual Report) for the year ended December 31, 2024. Additionally, there were charges of $0.32 million and $1.2 million recorded during the years ended December 31, 2025 and December 31, 2024, respectively, related to the restructuring including legal fees, banking fees and lab decommissioning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approximately $0.75 million of the total restructuring charges remain unpaid and were included in accrued restructuring charges. These charges primarily consist of personnel costs related to severance expense and retention bonuses.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Rights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2024, the Board of Directors of the Company declared a dividend of one preferred share purchase right (a “Right”), payable on March 1, 2024, for each share of common stock of the Company outstanding on March 1, 2024 to the stockholders of record on that date and for certain warrants to purchase Common Stock outstanding on March 1, 2024. In connection with the distribution of the Rights, the Company entered into a Rights Agreement, dated as of February 20, 2024, between the Company and Equiniti Trust Company LLC, as rights agent (the "Rights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Right entitles the registered holder to purchase from the Company one one-thousandth of a share of Series A Junior Participating Preferred Stock, par value $0.001 per share, of the Company (the “Series A Preferred Stock”) at a price of $12.00 per one one-thousandth of a share of Series A Preferred Stock represented by a Right (the “Purchase Price”), subject to adjustment.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were determined to have no value upon issuance and expired on February 20,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October 2023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2023, the Company issued and sold, through an underwritten public offering: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3,921,928</w:t>
      </w:r>
      <w:r>
        <w:rPr>
          <w:color w:val="000000"/>
        </w:rPr>
        <w:t xml:space="preserve"> </w:t>
      </w:r>
      <w:r>
        <w:rPr>
          <w:rFonts w:ascii="Times New Roman" w:hAnsi="Times New Roman"/>
          <w:color w:val="000000"/>
          <w:sz w:val="20"/>
        </w:rPr>
        <w:t>shares of its common stock at a price of $2.84</w:t>
      </w:r>
      <w:r>
        <w:rPr>
          <w:color w:val="000000"/>
        </w:rPr>
        <w:t xml:space="preserve"> </w:t>
      </w:r>
      <w:r>
        <w:rPr>
          <w:rFonts w:ascii="Times New Roman" w:hAnsi="Times New Roman"/>
          <w:color w:val="000000"/>
          <w:sz w:val="20"/>
        </w:rPr>
        <w:t xml:space="preserve">per share less underwriting discounts and commissions;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pre-funded warrants to purchase up to 3,472,435</w:t>
      </w:r>
      <w:r>
        <w:rPr>
          <w:color w:val="000000"/>
        </w:rPr>
        <w:t xml:space="preserve"> </w:t>
      </w:r>
      <w:r>
        <w:rPr>
          <w:rFonts w:ascii="Times New Roman" w:hAnsi="Times New Roman"/>
          <w:color w:val="000000"/>
          <w:sz w:val="20"/>
        </w:rPr>
        <w:t>shares of its common stock at a price of $2.839</w:t>
      </w:r>
      <w:r>
        <w:rPr>
          <w:color w:val="000000"/>
        </w:rPr>
        <w:t xml:space="preserve"> </w:t>
      </w:r>
      <w:r>
        <w:rPr>
          <w:rFonts w:ascii="Times New Roman" w:hAnsi="Times New Roman"/>
          <w:color w:val="000000"/>
          <w:sz w:val="20"/>
        </w:rPr>
        <w:t xml:space="preserve">immediately following the consummation of the offering,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accompanying common stock warrants to purchase up to 7,394,363</w:t>
      </w:r>
      <w:r>
        <w:rPr>
          <w:color w:val="000000"/>
        </w:rPr>
        <w:t xml:space="preserve"> </w:t>
      </w:r>
      <w:r>
        <w:rPr>
          <w:rFonts w:ascii="Times New Roman" w:hAnsi="Times New Roman"/>
          <w:color w:val="000000"/>
          <w:sz w:val="20"/>
        </w:rPr>
        <w:t>shares of its common stock at a price of $3.408</w:t>
      </w:r>
      <w:r>
        <w:rPr>
          <w:color w:val="000000"/>
        </w:rPr>
        <w:t xml:space="preserve"> </w:t>
      </w:r>
      <w:r>
        <w:rPr>
          <w:rFonts w:ascii="Times New Roman" w:hAnsi="Times New Roman"/>
          <w:color w:val="000000"/>
          <w:sz w:val="20"/>
        </w:rPr>
        <w:t xml:space="preserve">per share exercisable immediately after issuance and expires five years from the date of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its common stock and each pre-funded warrant was sold together with a common warrant to purchase one share of its common stock. A holder of pre-funded warrants may not exercise the warrant if the holder, together with its affiliates, would beneficially own more than 4.99% (or, upon election by a holder prior to the issuance of any warrants, 9.99%) of the number of shares of common stock outstanding immediately after giving effect to such exercise. The net proceeds to the Company from the sale of common stock and pre-funded warrants through the offering, after deducting the underwriting discounts and commissions and offering expenses payable by the Company, were approximately $19.6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common stock and pre-funded warrants met the criteria for equity classification. The purchase warrants met the definition of a derivative instrument. Accordingly, upon issuance, the purchase warrants were recorded as a liability at fair value using the Black-Scholes option-pricing model in the amount of $13.4 million. Any subsequent changes in fair value of the purchase warrants is recognized in the consolidated statements of operations. The residual proceeds were allocated between the common stock and pre-funded warrants based on their relative fair values at the time of issuance. The amount allocated to the pre-funded warrants was recorded as a component of stockholders’ equity within additional paid-in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2025, the fair value of the purchase warrants was $2.6 million. Accordingly, a gain on remeasurement of the purchase warrant liability of $2.3 million was recorded in the year ended December 31, 2025. Subsequent to their issuance and as of December 31, 2025, 2,920,126 pre-funded warrants have been exercised. None of the purchase warrants have been exercised since their issuance.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Ginkgo 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2019, the Company issued to Ginkgo Bioworks, Inc. (Ginkgo) 422,718 shares of common stock and accompanying Pre-Funded Warrants (the Pre-Funded Warrants) to purchase up to an aggregate of 169,874 shares of common stock, at a combined purchase price per share and Pre-Funded Warrant of $135. The Pre-Funded Warrants have an exercise price of $135 per share, with $134.85 of such exercise price paid at the closing of the offering. The proceeds, net of issuance costs, were approximately $79.9 million, $57.0 million related to the proceeds from sale of the common stock and $22.9 million related to the proceeds from sale of the Pre-Funded Warrants. 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In connection with the issuance to Ginkgo of common stock and Pre-Funded Warrants, the Company expanded its collaboration and entered into an agreement with Ginkgo for the research and development of engineered microbial therapeutic products. As a result of the Company's and its board of directors decision to discontinue the Synpheny-3 trial, the Company would no longer be purchasing services from Ginkgo. None of the Pre-Funded Warrants have been exercised as of December 31, 2025. (See Note 11, </w:t>
      </w:r>
      <w:r>
        <w:rPr>
          <w:rFonts w:ascii="Times New Roman" w:hAnsi="Times New Roman"/>
          <w:i/>
          <w:color w:val="000000"/>
          <w:sz w:val="20"/>
        </w:rPr>
        <w:t xml:space="preserve">Collaboration Agreements, </w:t>
      </w:r>
      <w:r>
        <w:rPr>
          <w:rFonts w:ascii="Times New Roman" w:hAnsi="Times New Roman"/>
          <w:color w:val="000000"/>
          <w:sz w:val="20"/>
        </w:rPr>
        <w:t>in the audited financial statements included in the 2024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reserved for future issuance the following shares of common stock related to the potential exercise of warrants, exercise of stock options, and the employee stock purchase plan:</w:t>
      </w:r>
    </w:p>
    <w:p>
      <w:pPr>
        <w:pStyle w:val="TextBody"/>
        <w:bidi w:val="0"/>
        <w:jc w:val="left"/>
        <w:rPr/>
      </w:pPr>
      <w:r>
        <w:rPr/>
        <w:t> </w:t>
      </w:r>
    </w:p>
    <w:tbl>
      <w:tblPr>
        <w:tblW w:w="6567" w:type="dxa"/>
        <w:jc w:val="left"/>
        <w:tblInd w:w="0" w:type="dxa"/>
        <w:tblLayout w:type="fixed"/>
        <w:tblCellMar>
          <w:top w:w="28" w:type="dxa"/>
          <w:left w:w="28" w:type="dxa"/>
          <w:bottom w:w="28" w:type="dxa"/>
          <w:right w:w="28" w:type="dxa"/>
        </w:tblCellMar>
      </w:tblPr>
      <w:tblGrid>
        <w:gridCol w:w="4876"/>
        <w:gridCol w:w="203"/>
        <w:gridCol w:w="1297"/>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pre-funded warrants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purchase warrants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Ginkgo pre-funded warrants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to purchase common stock</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8,319,823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Equity</w:t>
        <w:noBreakHyphen/>
        <w:t>based Compensation and Equity Incentive Plans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currently has two active equity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Equity Incentive Award Plan (2025 Plan) functions as the primary equity plan for the Company. The 2025 Plan replaced the 2015 Equity Incentive Award Plan (2015 Plan), which terminated on November 10, 2025. The 2025 Plan includes an “evergreen provision” that allows for an annual increase in the number of shares of common stock available for issuance under the 2025 Plan, which annual increase will be added on the first day of each fiscal year of the Company during the period beginning in fiscal year 2026, and ending on the second day of fiscal year 2035, and will be equal to the lesser of (i) four percent of the number of outstanding shares of common stock on such date and an amount determined by the administrator of the 2025 Plan. The 2025 Plan provides for the granting of a variety of stock</w:t>
        <w:noBreakHyphen/>
        <w:t>based compensation awards, including stock options, stock appreciation rights, restricted stock awards, restricted stock unit awards, deferred stock awards, dividend equivalent awards, stock payment awards, performance awards and other stock</w:t>
        <w:noBreakHyphen/>
        <w:t>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2017 Stock Incentive Plan (the 2017 Plan) provides for the grant of incentive stock options, non-qualified stock options, restricted and unrestricted stock awards and other stock-based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formerly utilizing the 2015 Employee Stock Purchase Plan (ESPP), which allowed eligible employees to purchase shares of the Company’s common stock at a discount through payroll deductions of up to 15% of their eligible compensation, subject to any plan limitations. Due to the corporate restructuring, the purchases for the ESPP offering periods were cancelled during the years ended December 31, 2024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were an aggregate of 1,038,721 shares available for future grant under the 2025 Plan and the 2017 Plan.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stock options issued to employees during the year ended December 31, 2025. The weighted average assumptions used in the Black-Scholes option-pricing model for stock options issued to employees and non-employees under the 2015 Plan and the 2017 Plan, during the year ended December 31, 2024 were:</w:t>
      </w:r>
    </w:p>
    <w:p>
      <w:pPr>
        <w:pStyle w:val="TextBody"/>
        <w:bidi w:val="0"/>
        <w:jc w:val="left"/>
        <w:rPr/>
      </w:pPr>
      <w:r>
        <w:rPr/>
        <w:t> </w:t>
      </w:r>
    </w:p>
    <w:tbl>
      <w:tblPr>
        <w:tblW w:w="5825" w:type="dxa"/>
        <w:jc w:val="left"/>
        <w:tblInd w:w="0" w:type="dxa"/>
        <w:tblLayout w:type="fixed"/>
        <w:tblCellMar>
          <w:top w:w="28" w:type="dxa"/>
          <w:left w:w="28" w:type="dxa"/>
          <w:bottom w:w="28" w:type="dxa"/>
          <w:right w:w="28" w:type="dxa"/>
        </w:tblCellMar>
      </w:tblPr>
      <w:tblGrid>
        <w:gridCol w:w="3346"/>
        <w:gridCol w:w="146"/>
        <w:gridCol w:w="146"/>
        <w:gridCol w:w="199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stock option activity under the 2015 (replaced by the 2025 Plan) and 2017 Plans.</w:t>
      </w:r>
    </w:p>
    <w:p>
      <w:pPr>
        <w:pStyle w:val="TextBody"/>
        <w:bidi w:val="0"/>
        <w:jc w:val="left"/>
        <w:rPr/>
      </w:pPr>
      <w:r>
        <w:rPr/>
        <w:t> </w:t>
      </w:r>
    </w:p>
    <w:tbl>
      <w:tblPr>
        <w:tblW w:w="9093" w:type="dxa"/>
        <w:jc w:val="left"/>
        <w:tblInd w:w="0" w:type="dxa"/>
        <w:tblLayout w:type="fixed"/>
        <w:tblCellMar>
          <w:top w:w="28" w:type="dxa"/>
          <w:left w:w="28" w:type="dxa"/>
          <w:bottom w:w="28" w:type="dxa"/>
          <w:right w:w="28" w:type="dxa"/>
        </w:tblCellMar>
      </w:tblPr>
      <w:tblGrid>
        <w:gridCol w:w="4066"/>
        <w:gridCol w:w="146"/>
        <w:gridCol w:w="146"/>
        <w:gridCol w:w="781"/>
        <w:gridCol w:w="166"/>
        <w:gridCol w:w="146"/>
        <w:gridCol w:w="214"/>
        <w:gridCol w:w="582"/>
        <w:gridCol w:w="146"/>
        <w:gridCol w:w="146"/>
        <w:gridCol w:w="271"/>
        <w:gridCol w:w="675"/>
        <w:gridCol w:w="146"/>
        <w:gridCol w:w="146"/>
        <w:gridCol w:w="425"/>
        <w:gridCol w:w="700"/>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w:t>
            </w:r>
            <w:r>
              <w:rPr>
                <w:rFonts w:ascii="Times New Roman" w:hAnsi="Times New Roman"/>
                <w:color w:val="000000"/>
                <w:sz w:val="16"/>
              </w:rPr>
              <w:t> </w:t>
            </w:r>
            <w:r>
              <w:rPr>
                <w:rFonts w:ascii="Times New Roman" w:hAnsi="Times New Roman"/>
                <w:b/>
                <w:color w:val="000000"/>
                <w:sz w:val="11"/>
              </w:rPr>
              <w: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The aggregate intrinsic value is calculated as the difference between the exercise price of the options and the fair market value of the underlying common stock for the options that were in the money at December 31, 2025 and 2024. There were no</w:t>
      </w:r>
      <w:r>
        <w:rPr>
          <w:rFonts w:ascii="Times New Roman" w:hAnsi="Times New Roman"/>
          <w:color w:val="000000"/>
          <w:sz w:val="20"/>
        </w:rPr>
        <w:t xml:space="preserve"> </w:t>
      </w:r>
      <w:r>
        <w:rPr>
          <w:rFonts w:ascii="Times New Roman" w:hAnsi="Times New Roman"/>
          <w:color w:val="000000"/>
          <w:sz w:val="18"/>
        </w:rPr>
        <w:t>options in the money at December 31, 2025 and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per share of options granted during the years ended December 31, 2024 was approximately $3.15. There were no options granted during the year ended December 31, 2025. The total fair value of awards that vested during the years ended December 31, 2025 and 2024 was $0.6 million and $1.3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there was approximately $0.02 million of unrecognized share-based compensation for unvested stock option grants which is expected to be recognized over a weighted average period of 0.94 years. The total unrecognized share-based compensation cost will be adjusted for actual forfeitures as they occur.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2025 and 2024, 30,000 and 362,700 shares of restricted common stock were granted,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restricted common stock activity:</w:t>
      </w:r>
    </w:p>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2701"/>
        <w:gridCol w:w="146"/>
        <w:gridCol w:w="146"/>
        <w:gridCol w:w="841"/>
        <w:gridCol w:w="166"/>
        <w:gridCol w:w="146"/>
        <w:gridCol w:w="280"/>
        <w:gridCol w:w="620"/>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total fair value of shares that vested during the years ended December 31, 2025 and 2024 was $0.7 million and $0.3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there was approximately $0.01 million of unrecognized share-based compensation related to restricted stock awards granted, which is expected to be recognized over a weighted average period of 0.6 years. The total unrecognized share-based compensation cost will be adjusted for actual forfeitures as they occur. </w:t>
      </w:r>
    </w:p>
    <w:p>
      <w:pPr>
        <w:pStyle w:val="TextBody"/>
        <w:bidi w:val="0"/>
        <w:spacing w:before="2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ESPP is considered a compensatory plan with the related compensation expense recognized over the six-month offering periods. There was no compensation expense for the year ended December 31, 2025. The compensation expense for the year ended December 31, 2024 was $(0.02) million due to the reversal of the expense as a result of the corporate restructuring and subsequent cancellation of the ESPP purchase in the first quarter of 2024.</w:t>
      </w:r>
    </w:p>
    <w:p>
      <w:pPr>
        <w:pStyle w:val="TextBody"/>
        <w:bidi w:val="0"/>
        <w:spacing w:before="260" w:after="283"/>
        <w:jc w:val="left"/>
        <w:rPr>
          <w:rFonts w:ascii="Times New Roman" w:hAnsi="Times New Roman"/>
          <w:b/>
          <w:i/>
          <w:color w:val="000000"/>
          <w:sz w:val="20"/>
        </w:rPr>
      </w:pPr>
      <w:r>
        <w:rPr>
          <w:rFonts w:ascii="Times New Roman" w:hAnsi="Times New Roman"/>
          <w:b/>
          <w:i/>
          <w:color w:val="000000"/>
          <w:sz w:val="20"/>
        </w:rPr>
        <w:t>Equity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recorded total equity</w:t>
        <w:noBreakHyphen/>
        <w:t xml:space="preserve">based compensation expense of approximately $0.1 million and $3.2 million, during the years ended December 31, 2025 and 2024, respectively. Equity compensation during the years ended December 31, 2025 and 2024 is derived from stock options, restricted stock awards, and the ESPP.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within the Company’s consolidated statements of operations and comprehensive loss for the years ended December 31, 2025 and 2024 (in thousands):</w:t>
      </w:r>
    </w:p>
    <w:p>
      <w:pPr>
        <w:pStyle w:val="TextBody"/>
        <w:bidi w:val="0"/>
        <w:jc w:val="left"/>
        <w:rPr/>
      </w:pPr>
      <w:r>
        <w:rPr/>
        <w:t> </w:t>
      </w:r>
    </w:p>
    <w:tbl>
      <w:tblPr>
        <w:tblW w:w="6081" w:type="dxa"/>
        <w:jc w:val="left"/>
        <w:tblInd w:w="0" w:type="dxa"/>
        <w:tblLayout w:type="fixed"/>
        <w:tblCellMar>
          <w:top w:w="28" w:type="dxa"/>
          <w:left w:w="28" w:type="dxa"/>
          <w:bottom w:w="28" w:type="dxa"/>
          <w:right w:w="28" w:type="dxa"/>
        </w:tblCellMar>
      </w:tblPr>
      <w:tblGrid>
        <w:gridCol w:w="3691"/>
        <w:gridCol w:w="146"/>
        <w:gridCol w:w="254"/>
        <w:gridCol w:w="507"/>
        <w:gridCol w:w="175"/>
        <w:gridCol w:w="175"/>
        <w:gridCol w:w="254"/>
        <w:gridCol w:w="688"/>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expense acceleration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by type of award for the years ended December 31, 2025 and 2024 (in thousands):</w:t>
      </w:r>
    </w:p>
    <w:p>
      <w:pPr>
        <w:pStyle w:val="TextBody"/>
        <w:bidi w:val="0"/>
        <w:jc w:val="left"/>
        <w:rPr/>
      </w:pPr>
      <w:r>
        <w:rPr/>
        <w:t> </w:t>
      </w:r>
    </w:p>
    <w:tbl>
      <w:tblPr>
        <w:tblW w:w="4728" w:type="dxa"/>
        <w:jc w:val="left"/>
        <w:tblInd w:w="0" w:type="dxa"/>
        <w:tblLayout w:type="fixed"/>
        <w:tblCellMar>
          <w:top w:w="28" w:type="dxa"/>
          <w:left w:w="28" w:type="dxa"/>
          <w:bottom w:w="28" w:type="dxa"/>
          <w:right w:w="28" w:type="dxa"/>
        </w:tblCellMar>
      </w:tblPr>
      <w:tblGrid>
        <w:gridCol w:w="2026"/>
        <w:gridCol w:w="146"/>
        <w:gridCol w:w="254"/>
        <w:gridCol w:w="507"/>
        <w:gridCol w:w="175"/>
        <w:gridCol w:w="175"/>
        <w:gridCol w:w="254"/>
        <w:gridCol w:w="688"/>
        <w:gridCol w:w="166"/>
        <w:gridCol w:w="14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(in thousands, except for share and per share amounts):</w:t>
      </w:r>
    </w:p>
    <w:p>
      <w:pPr>
        <w:pStyle w:val="TextBody"/>
        <w:bidi w:val="0"/>
        <w:jc w:val="left"/>
        <w:rPr/>
      </w:pPr>
      <w:r>
        <w:rPr/>
        <w:t> </w:t>
      </w:r>
    </w:p>
    <w:tbl>
      <w:tblPr>
        <w:tblW w:w="8624" w:type="dxa"/>
        <w:jc w:val="left"/>
        <w:tblInd w:w="0" w:type="dxa"/>
        <w:tblLayout w:type="fixed"/>
        <w:tblCellMar>
          <w:top w:w="28" w:type="dxa"/>
          <w:left w:w="28" w:type="dxa"/>
          <w:bottom w:w="28" w:type="dxa"/>
          <w:right w:w="28" w:type="dxa"/>
        </w:tblCellMar>
      </w:tblPr>
      <w:tblGrid>
        <w:gridCol w:w="5461"/>
        <w:gridCol w:w="146"/>
        <w:gridCol w:w="211"/>
        <w:gridCol w:w="1036"/>
        <w:gridCol w:w="166"/>
        <w:gridCol w:w="146"/>
        <w:gridCol w:w="211"/>
        <w:gridCol w:w="1036"/>
        <w:gridCol w:w="21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12,196,209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potentially dilutive shares, which include purchase warrants, outstanding stock options, unvested restricted common stock and potential shares issuable under the ESPP, are considered to be common share equivalents and are only included in the calculation of diluted net loss per share when their effect is 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pStyle w:val="TextBody"/>
        <w:bidi w:val="0"/>
        <w:jc w:val="left"/>
        <w:rPr/>
      </w:pPr>
      <w:r>
        <w:rPr/>
        <w:t> </w:t>
      </w:r>
    </w:p>
    <w:tbl>
      <w:tblPr>
        <w:tblW w:w="6774"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shares issuable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7,700,075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7,913,412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years ended December 31, 2025 and 2024, the Company recorded no income tax benefits for the net operating losses incurred due to its uncertainty of reclaiming a benefit for those losses.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taxes are recognized for temporary differences between the basis of assets and liabilities for financial statement and income tax purposes. Deferred tax assets consist of the following (in thousands):</w:t>
      </w:r>
    </w:p>
    <w:p>
      <w:pPr>
        <w:pStyle w:val="TextBody"/>
        <w:bidi w:val="0"/>
        <w:jc w:val="left"/>
        <w:rPr/>
      </w:pPr>
      <w:r>
        <w:rPr/>
        <w:t> </w:t>
      </w:r>
    </w:p>
    <w:tbl>
      <w:tblPr>
        <w:tblW w:w="6509" w:type="dxa"/>
        <w:jc w:val="left"/>
        <w:tblInd w:w="0" w:type="dxa"/>
        <w:tblLayout w:type="fixed"/>
        <w:tblCellMar>
          <w:top w:w="28" w:type="dxa"/>
          <w:left w:w="28" w:type="dxa"/>
          <w:bottom w:w="28" w:type="dxa"/>
          <w:right w:w="28" w:type="dxa"/>
        </w:tblCellMar>
      </w:tblPr>
      <w:tblGrid>
        <w:gridCol w:w="3336"/>
        <w:gridCol w:w="146"/>
        <w:gridCol w:w="211"/>
        <w:gridCol w:w="841"/>
        <w:gridCol w:w="166"/>
        <w:gridCol w:w="146"/>
        <w:gridCol w:w="211"/>
        <w:gridCol w:w="841"/>
        <w:gridCol w:w="61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Amortizable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Amortizable research expenditures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i/>
          <w:color w:val="000000"/>
          <w:sz w:val="19"/>
        </w:rPr>
        <w:t>Under the Tax Cuts and Jobs Act (TCJA), research and experimental (R&amp;D) expenditures are capitalized and amortized under section 174 for tax years beginning after December 31, 2021. These costs are amortized for tax purposes over 5 years since the R&amp;D was performed in the U.S. The One Big Beautiful Bill Act (OBBBA) was enacted on July 4, 2025. OBBBA includes modifications to several provisions of TCJA, including reinstating full expensing for domestic R&amp;D expenditures. The Company is considering the OBBBA amendments and transition rules for domestic R&amp;D expenditures that were previously capitalized under TCJA. The unamortized balance of these costs is presented as a deferred tax asset in the table above.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$134.3 million and $134.4 million was established at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President Trump signed into law the One Big Beautiful Bill Act ("OBBBA"). The OBBBA includes significant changes to U.S. tax law, including making permanent certain provisions originally enacted under the Tax Cuts and Jobs Act, such as 100% bonus depreciation, the immediate expensing of domestic research and development costs, and the limitation on the deductibility of business interest expense. The provisions of the OBBBA did not have a material impact on the effective income tax rate.</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As further described in Note 2, </w:t>
      </w:r>
      <w:r>
        <w:rPr>
          <w:rFonts w:ascii="Times New Roman" w:hAnsi="Times New Roman"/>
          <w:i/>
          <w:color w:val="000000"/>
          <w:sz w:val="20"/>
        </w:rPr>
        <w:t>Summary of Significant Accounting Policies</w:t>
      </w:r>
      <w:r>
        <w:rPr>
          <w:rFonts w:ascii="Times New Roman" w:hAnsi="Times New Roman"/>
          <w:color w:val="000000"/>
          <w:sz w:val="20"/>
        </w:rPr>
        <w:t>, we have elected to prospectively adopt the guidance in ASU 2023-09. The following table is a reconciliation of our effective income tax rate to the statutory federal income tax rate for the year ended December 31, 2025 in accordance with the guidance in ASU 2023-09:</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18"/>
        </w:rPr>
      </w:pPr>
      <w:r>
        <w:rPr>
          <w:rFonts w:ascii="Times New Roman" w:hAnsi="Times New Roman"/>
          <w:i/>
          <w:color w:val="000000"/>
          <w:sz w:val="18"/>
        </w:rPr>
        <w:t>(In thousands, except percentages)</w:t>
      </w:r>
    </w:p>
    <w:tbl>
      <w:tblPr>
        <w:tblW w:w="6902" w:type="dxa"/>
        <w:jc w:val="left"/>
        <w:tblInd w:w="0" w:type="dxa"/>
        <w:tblLayout w:type="fixed"/>
        <w:tblCellMar>
          <w:top w:w="28" w:type="dxa"/>
          <w:left w:w="28" w:type="dxa"/>
          <w:bottom w:w="28" w:type="dxa"/>
          <w:right w:w="28" w:type="dxa"/>
        </w:tblCellMar>
      </w:tblPr>
      <w:tblGrid>
        <w:gridCol w:w="4321"/>
        <w:gridCol w:w="184"/>
        <w:gridCol w:w="795"/>
        <w:gridCol w:w="417"/>
        <w:gridCol w:w="184"/>
        <w:gridCol w:w="184"/>
        <w:gridCol w:w="60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4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rate</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effect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compensation</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Fair market value change of warrant liability</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Cancelled stock awards</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is a reconciliation of our effective income tax rate to the statutory federal income tax rate for the year ended December 31, 2024 in accordance with the guidance prior to the adoption of ASU 2023-09:</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tbl>
      <w:tblPr>
        <w:tblW w:w="4562" w:type="dxa"/>
        <w:jc w:val="left"/>
        <w:tblInd w:w="0" w:type="dxa"/>
        <w:tblLayout w:type="fixed"/>
        <w:tblCellMar>
          <w:top w:w="28" w:type="dxa"/>
          <w:left w:w="28" w:type="dxa"/>
          <w:bottom w:w="28" w:type="dxa"/>
          <w:right w:w="28" w:type="dxa"/>
        </w:tblCellMar>
      </w:tblPr>
      <w:tblGrid>
        <w:gridCol w:w="3406"/>
        <w:gridCol w:w="218"/>
        <w:gridCol w:w="562"/>
        <w:gridCol w:w="376"/>
      </w:tblGrid>
      <w:tr>
        <w:trPr/>
        <w:tc>
          <w:tcPr>
            <w:tcW w:w="34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Rate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rate</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valuation allowance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cash paid for income taxes, net of refunds received, consisted of the following for the year ended December 31, 2025 (in thousands):</w:t>
      </w:r>
    </w:p>
    <w:p>
      <w:pPr>
        <w:pStyle w:val="TextBody"/>
        <w:bidi w:val="0"/>
        <w:spacing w:before="40" w:after="283"/>
        <w:jc w:val="left"/>
        <w:rPr/>
      </w:pPr>
      <w:r>
        <w:rPr/>
        <w:t> </w:t>
      </w:r>
    </w:p>
    <w:tbl>
      <w:tblPr>
        <w:tblW w:w="2230" w:type="dxa"/>
        <w:jc w:val="left"/>
        <w:tblInd w:w="0" w:type="dxa"/>
        <w:tblLayout w:type="fixed"/>
        <w:tblCellMar>
          <w:top w:w="28" w:type="dxa"/>
          <w:left w:w="28" w:type="dxa"/>
          <w:bottom w:w="28" w:type="dxa"/>
          <w:right w:w="28" w:type="dxa"/>
        </w:tblCellMar>
      </w:tblPr>
      <w:tblGrid>
        <w:gridCol w:w="1336"/>
        <w:gridCol w:w="146"/>
        <w:gridCol w:w="211"/>
        <w:gridCol w:w="346"/>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roll-forward of the valuation allowance for the years ended December 31, 2025 and 2024 is as follows (in thousands):</w:t>
      </w:r>
    </w:p>
    <w:p>
      <w:pPr>
        <w:pStyle w:val="TextBody"/>
        <w:bidi w:val="0"/>
        <w:jc w:val="left"/>
        <w:rPr/>
      </w:pPr>
      <w:r>
        <w:rPr/>
        <w:t> </w:t>
      </w:r>
    </w:p>
    <w:tbl>
      <w:tblPr>
        <w:tblW w:w="5459" w:type="dxa"/>
        <w:jc w:val="left"/>
        <w:tblInd w:w="0" w:type="dxa"/>
        <w:tblLayout w:type="fixed"/>
        <w:tblCellMar>
          <w:top w:w="28" w:type="dxa"/>
          <w:left w:w="28" w:type="dxa"/>
          <w:bottom w:w="28" w:type="dxa"/>
          <w:right w:w="28" w:type="dxa"/>
        </w:tblCellMar>
      </w:tblPr>
      <w:tblGrid>
        <w:gridCol w:w="2686"/>
        <w:gridCol w:w="146"/>
        <w:gridCol w:w="211"/>
        <w:gridCol w:w="841"/>
        <w:gridCol w:w="166"/>
        <w:gridCol w:w="146"/>
        <w:gridCol w:w="211"/>
        <w:gridCol w:w="84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2025, the Company had federal net operating loss carryforwards that may be available to reduce future taxable income of $401.8 million. Of the $401.8 million of federal net operating loss carryforwards, $62.4 million will expire on various dates from 2034 to 2037. The remaining $339.4 million of federal net operating loss carryforwards do not expire. The Company also had state net operating loss carryforwards that may be available to reduce future taxable income of $387.9 million for the period ended December 31, 2025. The state net operating loss carryforwards begin to expire in 2029. In addition, as of December 31, 2025, the Company had federal and state research and development tax credit carryforwards available to reduce future tax liabilities of $7.5 million and $4.4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The Company has not completed a study to assess whether an ownership change has occurred, or whether there have been multiple ownership changes since its formation, due to the significant complexity and related costs associated with such a study. There could be additional ownership changes in the future that may result in additional limitations on the utilization of NOL carryforwards and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2025. The Company’s policy is to record interest and penalties related to unrecognized tax benefits on the income tax expense line in the consolidated statement of operations. There are no interest or penalties accrued at December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2021 to the present are open to examination under the statute.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operating losses and other attributes generated in a closed tax year may still be adjusted to determine the amount of carryforward deduction available in an open year under examination.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Employee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defined contribution 401(k) plan for eligible employees. Employees are eligible to participate in the plan beginning on their date of hire. Under the terms of the plan, employees may make voluntary contributions as a percentage of compensation. The Company started to match employee contributions effective January 1, 2019. The Company matched 50% of the employee contributions to the 401(k) plan up to a maximum of 4% of the participating employee’s eligible earnings, resulting in a maximum company match of 2% of the participating employee’s eligible earnings, and subject to certain additional statutory dollar limitations. In 2021, the Company increased the match to 50% of the employee contributions up to a maximum of 6% of the participating employee’s eligible earnings, resulting in a maximum company match of 3% of the participating employee’s eligible earnings, and subject to certain additional statutory dollar limitations. For the years ended December 31, 2025 and 2024, the Company made $0.02 million and $0.09 million contributions to the plan,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financial information is available for evaluation by the chief operating decision maker (CODM) or decision-making group, in making decisions on how to allocate resources and assess performance. The principal executive officer (PEO) is the CODM. The Company operates in one operating segment; discovery and development of Synthetic Biotics.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manages and allocates resources to the operations of the Company on a total company basis by assessing the overall level of resources available and how to best deploy these resources across functions and research and development projects that are in line with long-term company-wide strategic goals. In making these decisions, the PEO uses consolidated financial information for purposes of evaluating performance, forecasting future period financial results, allocating resources and setting incentive targets. The CODM performs this assessment based on the Company's consolidated net income (loss) that is reported on the consolidated statements of operations and comprehensive loss. Through this analysis, the CODM assesses performance by comparing actual consolidated net income (loss) versus the budget, and then decides how to allocate resources to invest in the Company's research and development programs. The measure of segment assets is reported on the consolidated balance sheets as total assets. In addition, research and development, general and administrative expenses, and restructuring charges are significant segment expenses regularly provided to the PEO with the following categories: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5214" w:type="dxa"/>
        <w:jc w:val="left"/>
        <w:tblInd w:w="0" w:type="dxa"/>
        <w:tblLayout w:type="fixed"/>
        <w:tblCellMar>
          <w:top w:w="28" w:type="dxa"/>
          <w:left w:w="28" w:type="dxa"/>
          <w:bottom w:w="28" w:type="dxa"/>
          <w:right w:w="28" w:type="dxa"/>
        </w:tblCellMar>
      </w:tblPr>
      <w:tblGrid>
        <w:gridCol w:w="2971"/>
        <w:gridCol w:w="262"/>
        <w:gridCol w:w="430"/>
        <w:gridCol w:w="206"/>
        <w:gridCol w:w="181"/>
        <w:gridCol w:w="262"/>
        <w:gridCol w:w="71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research and development expense</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5229" w:type="dxa"/>
        <w:jc w:val="left"/>
        <w:tblInd w:w="0" w:type="dxa"/>
        <w:tblLayout w:type="fixed"/>
        <w:tblCellMar>
          <w:top w:w="28" w:type="dxa"/>
          <w:left w:w="28" w:type="dxa"/>
          <w:bottom w:w="28" w:type="dxa"/>
          <w:right w:w="28" w:type="dxa"/>
        </w:tblCellMar>
      </w:tblPr>
      <w:tblGrid>
        <w:gridCol w:w="2986"/>
        <w:gridCol w:w="233"/>
        <w:gridCol w:w="632"/>
        <w:gridCol w:w="161"/>
        <w:gridCol w:w="161"/>
        <w:gridCol w:w="233"/>
        <w:gridCol w:w="632"/>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general and administrative expense</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Restructuring Charges</w:t>
      </w:r>
    </w:p>
    <w:tbl>
      <w:tblPr>
        <w:tblW w:w="4974" w:type="dxa"/>
        <w:jc w:val="left"/>
        <w:tblInd w:w="0" w:type="dxa"/>
        <w:tblLayout w:type="fixed"/>
        <w:tblCellMar>
          <w:top w:w="28" w:type="dxa"/>
          <w:left w:w="28" w:type="dxa"/>
          <w:bottom w:w="28" w:type="dxa"/>
          <w:right w:w="28" w:type="dxa"/>
        </w:tblCellMar>
      </w:tblPr>
      <w:tblGrid>
        <w:gridCol w:w="2731"/>
        <w:gridCol w:w="236"/>
        <w:gridCol w:w="472"/>
        <w:gridCol w:w="186"/>
        <w:gridCol w:w="163"/>
        <w:gridCol w:w="236"/>
        <w:gridCol w:w="759"/>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restructuring charges</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bookmarkStart w:id="44" w:name="sybx-ex19_1.htm"/>
      <w:bookmarkStart w:id="45" w:name="kssybxex19_1"/>
      <w:bookmarkEnd w:id="44"/>
      <w:bookmarkEnd w:id="45"/>
      <w:r>
        <w:rPr>
          <w:rFonts w:ascii="Times New Roman" w:hAnsi="Times New Roman"/>
          <w:b/>
          <w:color w:val="000000"/>
          <w:sz w:val="24"/>
        </w:rPr>
        <w:t>Exhibit 19.1</w:t>
      </w:r>
      <w:r>
        <w:br w:type="page"/>
      </w:r>
    </w:p>
    <w:p>
      <w:pPr>
        <w:pStyle w:val="TextBody"/>
        <w:bidi w:val="0"/>
        <w:spacing w:before="0" w:after="240"/>
        <w:jc w:val="center"/>
        <w:rPr/>
      </w:pPr>
      <w:r>
        <w:rPr/>
        <w:drawing>
          <wp:inline distT="0" distB="0" distL="0" distR="0">
            <wp:extent cx="191452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4"/>
                    <a:stretch>
                      <a:fillRect/>
                    </a:stretch>
                  </pic:blipFill>
                  <pic:spPr bwMode="auto">
                    <a:xfrm>
                      <a:off x="0" y="0"/>
                      <a:ext cx="1914525" cy="714375"/>
                    </a:xfrm>
                    <a:prstGeom prst="rect">
                      <a:avLst/>
                    </a:prstGeom>
                  </pic:spPr>
                </pic:pic>
              </a:graphicData>
            </a:graphic>
          </wp:inline>
        </w:drawing>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INSIDER TRADING POLICY</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Updated June 2023</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BACKGROUND AND PURPOSE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Why Have We Adopted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federal securities laws prohibit any member of the Board of Directors (a “Director”) or employee of the Company (including its subsidiaries) from purchasing or selling Company securities on the basis of material non-public information concerning the Company, or from tipping material non-public information to others. These laws impose severe sanctions on individuals who violate them. In addition,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insider trading policy is being adopted in light of these legal requirements, and with the goal of helping: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prevent inadvertent violations of the insider trading laws;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avoid embarrassing proxy disclosure of reporting violations by persons subject to Section 16 of the Securities Exchange Act of 1934 (the “Exchange Act”);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avoid even the appearance of impropriety on the part of those employed by, or associated with,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protect the Company from controlling person liability;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protect the reputation of the Company, its Directors and its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detailed below, this policy applies to family members and certain other persons and entities with whom Directors, employees, and consultants have relationships. However, nothing in this policy is applicable to transactions by the Company itself.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What Type of Information Is “Material”?</w:t>
      </w:r>
    </w:p>
    <w:p>
      <w:pPr>
        <w:pStyle w:val="TextBody"/>
        <w:bidi w:val="0"/>
        <w:spacing w:before="0" w:after="240"/>
        <w:jc w:val="left"/>
        <w:rPr>
          <w:rFonts w:ascii="Times New Roman" w:hAnsi="Times New Roman"/>
          <w:sz w:val="20"/>
        </w:rPr>
      </w:pPr>
      <w:r>
        <w:rPr>
          <w:rFonts w:ascii="Times New Roman" w:hAnsi="Times New Roman"/>
          <w:color w:val="000000"/>
          <w:sz w:val="24"/>
        </w:rPr>
        <w:t>Information concerning the Company is considered material if there is a substantial likelihood that a reasonable stockholder would consider the information important in making an investment decision with respect to the Company’s securities. Stated another way, there must be a substantial likelihood that a reasonable stockholder would view the information as having significantly altered the “total mix” of information available about the Company. Material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can include positive or negative information about the Company. Information concerning any of the following subjects, or the Company’s plans with respect to any of these subjects, would often be considered material:</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Company’s revenues or earnings;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related to the results of clinical trials;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communications sent to or received from the U.S. Food and Drug Administration or the European Medicines Agency or other similar regulatory agencies;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negotiation or execution of any significant new agreement, or changes to an existing agreement;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significant merger or acquisition involving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change in control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significant change in the management or the Board of Directors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significant cybersecurity incident;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public or private sale of a significant amount of securities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Company’s decision to commence or terminate the payment of cash dividends;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establishment of a stock repurchase program;</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stock split;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default on outstanding debt or preferred stock;</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bankruptcy filing;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new product release or a significant development, invention or discovery;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loss, delay or gain of a significant contract, sale or order or other important development regarding customers or suppliers;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conclusion by the Company or a notification from its independent auditor that any of the Company’s previously issued financial statements should no longer be relied upon;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change in the Company’s independent auditor;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other items that require the filing of a Current Report on Form 8-K with the SEC.</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list is illustrative only and is not intended to provide a comprehensive list of circumstances that could give rise to material information. In determining whether information is material, the SEC and other regulators will view the information after-the-fact with the benefit of hindsight. As a result, in determining whether any information is material, the Company will, and any Covered Person (as defined below) considering a trade in Company securities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When Is Information “Non-public”?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concerning the Company is considered non-public if it has not been disseminated in a manner making it available to investors generally.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will generally be considered non-public unless (1) the information has been disclosed in a press release, in a public filing made with the Securities and Exchange Commission (such as a Report on Form 10-K, Form 10-Q, or Form 8-K, through a news wire service or daily newspaper of wide circulation or, in some circumstances, on the Company’s website, and (2) a sufficient amount of time has passed so that the information has had an opportunity to be digested by the marketplace.</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PROHIBITIONS RELATING TO TRANSACTIONS IN THE COMPANY’S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Covered Persons</w:t>
      </w:r>
      <w:r>
        <w:rPr>
          <w:rFonts w:ascii="Times New Roman" w:hAnsi="Times New Roman"/>
          <w:color w:val="000000"/>
          <w:sz w:val="24"/>
        </w:rPr>
        <w:t>. This Section 2 applies to:</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Directors;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employees;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consultants;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family members of Directors, employees, and consultants who share the same address as, or are financially dependent on, the Director, employee, or consultant and any other person who shares the same address as the Director, employee or consultant (other than (x) an employee or tenant of the Director, employee, or consultant or (y) another unrelated person whom the Chief Financial Officer determines should not be covered by this policy);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Prohibition on Trading While Aware of Material Non-public Information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Prohibited Activities</w:t>
      </w:r>
      <w:r>
        <w:rPr>
          <w:rFonts w:ascii="Times New Roman" w:hAnsi="Times New Roman"/>
          <w:color w:val="000000"/>
          <w:sz w:val="24"/>
        </w:rPr>
        <w:t>. Except as provided in Section 4, no person or entity covered by Section 2 may: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 sell or donate any securities of the Company while he or she is aware of any material non-public information concerning the Company or recommend to another person that they do so;</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disclose to any other person any material non-public information concerning the Company if such person may misuse that information, such as by purchasing or selling Company securities or tipping that information to others;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 sell or donate any securities of another company while he or she is aware of any material non-public information concerning such other company which he or she learned in the course of his or her service as a Director, employee, or consultant of the Company or recommend to another person that they do so;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disclose to any other person any material non-public information concerning another company which he or she learned in the course of his or her service as a Director, employee, or consultant of the Company if such person may misuse that information, such as by purchasing or selling securities of such other company or tipping that information to others.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Application of Policy After Cessation of Service</w:t>
      </w:r>
      <w:r>
        <w:rPr>
          <w:rFonts w:ascii="Times New Roman" w:hAnsi="Times New Roman"/>
          <w:color w:val="000000"/>
          <w:sz w:val="24"/>
        </w:rPr>
        <w:t>. If a person ceases to be a Director, employee, or consultant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Prohibition on Pledges</w:t>
      </w:r>
      <w:r>
        <w:rPr>
          <w:rFonts w:ascii="Times New Roman" w:hAnsi="Times New Roman"/>
          <w:color w:val="000000"/>
          <w:sz w:val="24"/>
        </w:rPr>
        <w:t>. No person or entity covered by this Section 2 may at any time purchase Company securities on margin, borrow against Company securities held in a margin account, or pledge Company securities as collateral for a loan. However, an exception may be granted where a person wishes to pledge Company securities as collateral for a loan (other than a margin loan) and clearly demonstrates the financial capacity to repay the loan without resort to the pledged securities. Any person who wishes to pledge Company securities as collateral for a loan must submit a request for approval to the Chief Financial Officer. In addition, any such request by a Director or executive officer of the Company must also be reviewed and approved by the Audit Committee of the Board of Directors.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Prohibition on Short Sales and Derivative Transactions</w:t>
      </w:r>
      <w:r>
        <w:rPr>
          <w:rFonts w:ascii="Times New Roman" w:hAnsi="Times New Roman"/>
          <w:color w:val="000000"/>
          <w:sz w:val="24"/>
        </w:rPr>
        <w:t>. No person or entity covered by this Section 2 may engage at any time in any of the following types of transactions: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short sales of Company securities, including short sales “against the box”;</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purchases or sales of puts, calls or other derivative securities based on the Company’s securities;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purchases of financial instruments (including prepaid variable forward contracts, equity swaps, collars and exchange funds) that are designed to hedge or offset any decrease in the market value of Company securities.</w:t>
      </w:r>
    </w:p>
    <w:p>
      <w:pPr>
        <w:pStyle w:val="TextBody"/>
        <w:bidi w:val="0"/>
        <w:jc w:val="left"/>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Personal or Independent Reasons Are Not Exceptions</w:t>
      </w:r>
      <w:r>
        <w:rPr>
          <w:rFonts w:ascii="Times New Roman" w:hAnsi="Times New Roman"/>
          <w:i/>
          <w:color w:val="000000"/>
          <w:sz w:val="24"/>
        </w:rPr>
        <w:t xml:space="preserve">. </w:t>
      </w:r>
      <w:r>
        <w:rPr>
          <w:rFonts w:ascii="Times New Roman" w:hAnsi="Times New Roman"/>
          <w:color w:val="000000"/>
          <w:sz w:val="24"/>
        </w:rPr>
        <w:t>Transactions in the Company’s securities that may be necessary or justifiable for independent reasons (such as the need to raise money for an emergency expenditure) are no exception. Even the appearance of an improper transaction must be avoided to preserve the Company’s reputation for adhering to the highest standards of conduct.</w:t>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ADDITIONAL PROHIBITIONS APPLICABLE TO DIRECTORS, EXECUTIVE OFFICERS AND DESIGNATED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pPr>
      <w:r>
        <w:rPr>
          <w:rFonts w:ascii="Times New Roman" w:hAnsi="Times New Roman"/>
          <w:color w:val="000000"/>
          <w:sz w:val="24"/>
          <w:u w:val="single"/>
        </w:rPr>
        <w:t>Covered Persons</w:t>
      </w:r>
      <w:r>
        <w:rPr>
          <w:rFonts w:ascii="Times New Roman" w:hAnsi="Times New Roman"/>
          <w:color w:val="000000"/>
          <w:sz w:val="24"/>
        </w:rPr>
        <w:t>. Section 3 applies to:</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Directors;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executive officers;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such other employees or consultants as are designated from time to time by the Board of Directors, the Chief Executive Officer or the Chief Financial Officer as being subject to this Section 3 (the “Designated Employees”);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Chief Financial Officer determines should not be covered by this policy);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pPr>
      <w:r>
        <w:rPr>
          <w:rFonts w:ascii="Times New Roman" w:hAnsi="Times New Roman"/>
          <w:color w:val="000000"/>
          <w:sz w:val="24"/>
          <w:u w:val="single"/>
        </w:rPr>
        <w:t>Blackout Periods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Regular Blackout Periods</w:t>
      </w:r>
      <w:r>
        <w:rPr>
          <w:rFonts w:ascii="Times New Roman" w:hAnsi="Times New Roman"/>
          <w:color w:val="000000"/>
          <w:sz w:val="24"/>
        </w:rPr>
        <w:t>. Except as provided in Section 4, no person or entity covered by this Section 3 may purchase, sell or donate any securities of the Company during the period beginning two business days prior to the end of each fiscal quarter and ending upon the completion of the second full trading day after the public announcement of earnings for such quarter (a “regular blackout period”).</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Corporate News Blackout Periods</w:t>
      </w:r>
      <w:r>
        <w:rPr>
          <w:rFonts w:ascii="Times New Roman" w:hAnsi="Times New Roman"/>
          <w:color w:val="000000"/>
          <w:sz w:val="24"/>
        </w:rPr>
        <w:t>. The Company may from time to time notify Directors, executive officers and other specified employees or consultants that an additional blackout period (a “corporate news blackout period”) is in effect in view of significant events or developments involving the Company. In such event, except as provided in Section 4, no such individual may purchase, sell or donate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left"/>
        <w:rPr/>
      </w:pPr>
      <w:r>
        <w:rPr>
          <w:rFonts w:ascii="Times New Roman" w:hAnsi="Times New Roman"/>
          <w:color w:val="000000"/>
          <w:sz w:val="24"/>
          <w:u w:val="single"/>
        </w:rPr>
        <w:t>Notice and Pre-Clearance of Transactions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Pre-Transaction Clearance</w:t>
      </w:r>
      <w:r>
        <w:rPr>
          <w:rFonts w:ascii="Times New Roman" w:hAnsi="Times New Roman"/>
          <w:color w:val="000000"/>
          <w:sz w:val="24"/>
        </w:rPr>
        <w:t>. No person or entity covered by this Section 3 (a “Pre-Clearance Person”) may purchase or sell or otherwise acquire or dispose of securities of the Company, other than in a transaction permitted under Section 4, unless such person pre-clears the transaction with the Chief Financial Officer. A request for pre-clearance shall be made in accordance with the procedures established by the Chief Financial Officer. The Chief Financial Officer shall have sole discretion to decide whether to clear any contemplated transaction. Neither the Company nor the Chief Financial Officer or his or her designee shall be liable for any delays that may occur due to the pre-clearance process. All trades that are pre-cleared must be effected within five business days of receipt of the pre-clearance unless a specific exception has been granted by the Chief Financial Officer.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pStyle w:val="TextBody"/>
        <w:bidi w:val="0"/>
        <w:jc w:val="left"/>
        <w:rPr>
          <w:rFonts w:ascii="Times New Roman" w:hAnsi="Times New Roman"/>
          <w:b/>
          <w:color w:val="000000"/>
          <w:sz w:val="24"/>
        </w:rPr>
      </w:pPr>
      <w:r>
        <w:rPr>
          <w:rFonts w:ascii="Times New Roman" w:hAnsi="Times New Roman"/>
          <w:b/>
          <w:color w:val="000000"/>
          <w:sz w:val="24"/>
        </w:rPr>
        <w:t>Please note that pre-clearance does not provide immunity from investigation or suit, for which it is the responsibility of the individual to comply with federal securities regulations.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Post-Transaction Notice</w:t>
      </w:r>
      <w:r>
        <w:rPr>
          <w:rFonts w:ascii="Times New Roman" w:hAnsi="Times New Roman"/>
          <w:color w:val="000000"/>
          <w:sz w:val="24"/>
        </w:rPr>
        <w:t>. Each person or entity covered by this Section 3 who is subject to reporting obligations under Section 16 of the Exchange Act shall also notify the Chief Financial Officer (or his or her designee) of the occurrence of any purchase, sale or other acquisition or disposition of securities of the Company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and the purchase or sale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Deemed Time of a Transaction</w:t>
      </w:r>
      <w:r>
        <w:rPr>
          <w:rFonts w:ascii="Times New Roman" w:hAnsi="Times New Roman"/>
          <w:color w:val="000000"/>
          <w:sz w:val="24"/>
        </w:rPr>
        <w:t>. For purposes of this Section 3.3, a purchase, sale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EXCEPTIONS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left"/>
        <w:rPr/>
      </w:pPr>
      <w:r>
        <w:rPr>
          <w:rFonts w:ascii="Times New Roman" w:hAnsi="Times New Roman"/>
          <w:color w:val="000000"/>
          <w:sz w:val="24"/>
          <w:u w:val="single"/>
        </w:rPr>
        <w:t>Exceptions</w:t>
      </w:r>
      <w:r>
        <w:rPr>
          <w:rFonts w:ascii="Times New Roman" w:hAnsi="Times New Roman"/>
          <w:color w:val="000000"/>
          <w:sz w:val="24"/>
        </w:rPr>
        <w:t>. The prohibitions in Sections 2.2(a) and 3.2 on purchases, sales and donations of Company securities do not apply to:</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4"/>
        </w:rPr>
        <w:t>Except as provided in Section 4.2 below</w:t>
      </w:r>
      <w:r>
        <w:rPr>
          <w:rFonts w:ascii="Times New Roman" w:hAnsi="Times New Roman"/>
          <w:color w:val="000000"/>
          <w:sz w:val="16"/>
        </w:rPr>
        <w:t>1</w:t>
      </w:r>
      <w:r>
        <w:rPr>
          <w:rFonts w:ascii="Times New Roman" w:hAnsi="Times New Roman"/>
          <w:color w:val="000000"/>
          <w:sz w:val="24"/>
        </w:rPr>
        <w:t>, exercises of stock options or other equity awards or the surrender of shares to the Company in payment of the exercise price or in satisfaction of any tax withholding obligations, in each case in a manner permitted by the applicable equity award agreement; provided, however, that the securities so acquired may not be sold (either outright or in connection with a “cashless” exercise transaction through a broker) while the Director, employee, or consultant is aware of material non-public information or, in the case of someone who is subject to Section 3, during a blackout period;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acquisitions or dispositions of Company common stock under the Company’s 401(k) or other individual account plan that are made pursuant to standing instructions not entered into or modified while the Director, employee, or consultant is aware of material non-public information or, in the case of someone who is subject to Section 3, during a blackout period;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other purchases of securities from the Company (including purchases under the Company’s Employee Stock Purchase Plan) or sales of securities to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bona fide gifts, unless the Director, employee, or consultant making the gift has reason to believe that the recipient intends to sell the securities while such Director, employee, or consultant is aware of material non-public information or, if such Director, employee, or consultant is subject to Section 3, during a blackout period applicable to such Director, employee, or consultant;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transactions pursuant to Section 4.3,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left"/>
        <w:rPr/>
      </w:pPr>
      <w:r>
        <w:rPr>
          <w:rFonts w:ascii="Times New Roman" w:hAnsi="Times New Roman"/>
          <w:color w:val="000000"/>
          <w:sz w:val="24"/>
          <w:u w:val="single"/>
        </w:rPr>
        <w:t>Rule 10b5-1 Trading Plans</w:t>
      </w:r>
      <w:r>
        <w:rPr>
          <w:rFonts w:ascii="Times New Roman" w:hAnsi="Times New Roman"/>
          <w:color w:val="000000"/>
          <w:sz w:val="24"/>
        </w:rPr>
        <w:t>. Nothing in this policy is intended to limit the ability to effect transactions in the Company’s securities pursuant to approved trading plans established under Rule 10b5-1 of the Exchange Act (“Trading Plans”), which may include transactions during prohibited periods. A Trading Plan must be approved by the Chief Financial Officer or their designee and meet the requirements of Rule 10b5-1 and the following requirements and guidelines: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Adoption</w:t>
      </w:r>
      <w:r>
        <w:rPr>
          <w:rFonts w:ascii="Times New Roman" w:hAnsi="Times New Roman"/>
          <w:color w:val="000000"/>
          <w:sz w:val="24"/>
        </w:rPr>
        <w:t>. Since adopting a plan is tantamount to an investment decision, the Trading Plan may be adopted only during an open trading window when both (a) transactions in Company securities are otherwise permitted under this Policy and (b) the person or entity adopting such plan does not possess any material non-public information. Disclosure regarding the plan’s adoption may, at the Company’s discretion, be made through a press release or Current Report on Form 8-K.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Note that this is meant to clarify that the restrictions on 10b5-1 plans related to sales made to cover taxes in connection with the exercise of stock options remains applicable.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Cooling-Off Period</w:t>
      </w:r>
      <w:r>
        <w:rPr>
          <w:rFonts w:ascii="Times New Roman" w:hAnsi="Times New Roman"/>
          <w:color w:val="000000"/>
          <w:sz w:val="24"/>
        </w:rPr>
        <w:t>. A director or officer of the Company may not adopt a Trading Plan unless the Trading Plan provides that trading under the plan will not begin until the later of (a) 90 days after the adoption of the Trading Plan or (b) two business days following the disclosure of the Company’s financial results in a Form 10-Q or Form 10-K for the completed fiscal quarter in which the Trading Plan was adopted (provided, however, that the required cooling-off period shall not exceed 120 days after the adoption of the Trading Plan), and Covered Persons other than directors and officers of the Company may not adopt a Trading Plan unless the Trading Plan provides that trading under the plan will not begin until 30 days after the adoption of the Trading Plan (in each case, the “Cooling-Off Period”). The purpose of the Cooling-Off Period is to provide a separation in time between the adoption of the Trading Plan and the commencement of trading under the Trading Plan so as to minimize the ability to benefit from any material non-public information.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Plan Modifications</w:t>
      </w:r>
      <w:r>
        <w:rPr>
          <w:rFonts w:ascii="Times New Roman" w:hAnsi="Times New Roman"/>
          <w:color w:val="000000"/>
          <w:sz w:val="24"/>
        </w:rPr>
        <w:t>. Plan modifications, even if made prior to receiving material non-public information, may create the perception that the Covered Person is manipulating the plan to benefit from material non-public information, which jeopardizes the good faith element and the availability of the affirmative defense under Rule 10b5-1. Therefore, any modification or change to the amount, price, or timing of the purchase or sale of Company securities (or a modification or change to a written formula or algorithm, or computer program that affects the amount, price, or timing of the purchase or sale of Company securities) underlying a Trading Plan will be deemed a termination of such Trading Plan and the adoption of a new Trading Plan, and such new adoption triggers a new Cooling-Off Period. Any modification to a Trading Plan that does not change the sales or purchase prices or price ranges, the amount of Company securities to be sold or purchased, or the timing of transactions under a Trading Plan (such as an adjustment for stock splits or a change in account information) will not trigger a new Cooling-Off Period. The Covered Person should avoid frequent modifications of Trading Plans because this could raise concern about good faith with respect to the plan. Any modification of a Trading Plan requires the preapproval of the Chief Financial Officer or their designee.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Certification</w:t>
      </w:r>
      <w:r>
        <w:rPr>
          <w:rFonts w:ascii="Times New Roman" w:hAnsi="Times New Roman"/>
          <w:color w:val="000000"/>
          <w:sz w:val="24"/>
        </w:rPr>
        <w:t>. When adopting or modifying a Trading Plan, each director and officer of the Company is required to include a representation in the Trading Plan certifying that at the time of adoption of a new or modified Trading Plan, the director or officer (a) is not aware of material non-public information about the Company or its securities, and (b) is adopting the Trading Plan in good faith and not as part of a plan or scheme to evade the prohibitions of Rule 10b-5. Additionally, all Covered Persons entering into a Trading Plan must act in good faith with respect to that Trading Plan during its term.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Multiple Overlapping Trading Plans</w:t>
      </w:r>
      <w:r>
        <w:rPr>
          <w:rFonts w:ascii="Times New Roman" w:hAnsi="Times New Roman"/>
          <w:color w:val="000000"/>
          <w:sz w:val="24"/>
        </w:rPr>
        <w:t>. Covered Persons are not permitted to have multiple Trading Plans in operation unless permitted by SEC rules and regulations and approved in writing by the Chief Financial Officer or their designee. Covered Persons may not have another outstanding (and may not subsequently enter into any additional) Trading Plan for purchases or sales of Company securities on the open market during the same period except as follows:</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Times New Roman" w:hAnsi="Times New Roman"/>
          <w:color w:val="000000"/>
          <w:sz w:val="24"/>
        </w:rPr>
      </w:pPr>
      <w:r>
        <w:rPr>
          <w:rFonts w:ascii="Times New Roman" w:hAnsi="Times New Roman"/>
          <w:color w:val="000000"/>
          <w:sz w:val="24"/>
        </w:rPr>
        <w:t xml:space="preserve">A series of separate contracts with different broker-dealers or other agents acting on behalf of the Covered Person to execute trades thereunder may be treated as a single Trading Plan provided that the individual constituent contracts with each broker-dealer or other agent, when taken together as a whole, meet all of the applicable conditions of and remain collectively subject to the provisions of Rule 10b5-1(c)(1), including that a modification of any individual Trading Plan acts as modification of the whole Trading Plan.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Times New Roman" w:hAnsi="Times New Roman"/>
          <w:color w:val="000000"/>
          <w:sz w:val="24"/>
        </w:rPr>
      </w:pPr>
      <w:r>
        <w:rPr>
          <w:rFonts w:ascii="Times New Roman" w:hAnsi="Times New Roman"/>
          <w:color w:val="000000"/>
          <w:sz w:val="24"/>
        </w:rPr>
        <w:t>Covered Persons may have one later-commencing Trading Plan for purchases or sales of Company securities on the open market under which trading is not authorized to begin until after all trades under the earlier-commencing Trading Plan are completed or expired without execution, provided, however, that if the first trade under the later-commencing Trading Plan is scheduled during the Effective Cooling-Off Period (as defined below), the later-commencing Trading Plan may not rely upon this exception. The “Effective Cooling-Off Period” means the cooling-off period that would be applicable to the later commencing Trading Plan if the date of adoption of the later-commencing Trading Plan were deemed to be the date of termination of the earlier-commencing Trading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Times New Roman" w:hAnsi="Times New Roman"/>
          <w:color w:val="000000"/>
          <w:sz w:val="24"/>
        </w:rPr>
      </w:pPr>
      <w:r>
        <w:rPr>
          <w:rFonts w:ascii="Times New Roman" w:hAnsi="Times New Roman"/>
          <w:color w:val="000000"/>
          <w:sz w:val="24"/>
        </w:rPr>
        <w:t>Covered Persons may enter into a Trading Plan that provides for an eligible sell-to-cover transaction, which is a Trading Plan that authorizes an agent to sell only such Company securities as are necessary to satisfy tax withholding obligations arising exclusively from the vesting of a compensatory award, and the Covered Person does not otherwise exercise control over the timing of such sales (“Sell-To-Cover Trading Plan”). This foregoing exception does not apply to sales made to cover taxes in connection with the exercise of stock option awards.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Restrictions on Single-Trade Plans</w:t>
      </w:r>
      <w:r>
        <w:rPr>
          <w:rFonts w:ascii="Times New Roman" w:hAnsi="Times New Roman"/>
          <w:color w:val="000000"/>
          <w:sz w:val="24"/>
        </w:rPr>
        <w:t xml:space="preserve">. Covered Persons may not have more than one single-trade Trading Plan during any 12-month period except for Sell-To-Cover Trading Plans. A single-trade Trading Plan is one designed to effect the purchase or sale of securities as a single transaction.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Early Plan Terminations</w:t>
      </w:r>
      <w:r>
        <w:rPr>
          <w:rFonts w:ascii="Times New Roman" w:hAnsi="Times New Roman"/>
          <w:color w:val="000000"/>
          <w:sz w:val="24"/>
        </w:rPr>
        <w:t>. It is not advisable for Covered Persons to terminate Trading Plans except in unusual circumstances. If a plan is terminated, disclosure regarding such termination may, at the Company’s discretion, be made through a press release or Current Report on Form 8-K. Furthermore, in the event a Covered Person terminates a Trading Plan, the Company requires that the Covered Person be subject to the required Cooling-Off Period before engaging in any new transactions in Company securities or adopting a new Trading Plan. Any early termination of a Trading Plan requires the preapproval of the Chief Financial Officer or their designee.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Transactions Outside the Plan</w:t>
      </w:r>
      <w:r>
        <w:rPr>
          <w:rFonts w:ascii="Times New Roman" w:hAnsi="Times New Roman"/>
          <w:color w:val="000000"/>
          <w:sz w:val="24"/>
        </w:rPr>
        <w:t xml:space="preserve">. Covered Persons are strongly advised not to engage in transactions in Company securities outside of Trading Plans once a Trading Plan has been established. Transacting in Company securities outside of a Trading Plan poses numerous risks, including that (a) the Rule 10b5-1 affirmative defense will not apply to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transactions of Company securities made outside of the plan and (b) such transactions could be interpreted as a hedging transaction, which would nullify the affirmative defense. Further, Covered Persons should not sell Company securities that have been designated as Rule 10b5-1 plan securities because any such sale may be deemed a modification of the plan. If the Covered Person is subject to the volume limitations of Rule 144, the sale of Company Securities outside the Rule 10b5-1 Plan could effectively reduce the number of shares that could be sold under the plan, which could be deemed an impermissible modification of the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Company Rights</w:t>
      </w:r>
      <w:r>
        <w:rPr>
          <w:rFonts w:ascii="Times New Roman" w:hAnsi="Times New Roman"/>
          <w:color w:val="000000"/>
          <w:sz w:val="24"/>
        </w:rPr>
        <w:t xml:space="preserve">. The Company has the right at any time to require additional and/or different requirements in connection with the modification or termination of a Trading Plan in order to protect the Covered Person and the Company from potential liability. The Company also has the right at any time to require any Covered Person to (a) terminate or suspend a Trading Plan, (b) include additional provisions in a Trading Plan, or (c) delete or amend any existing provisions of a Trading Plan, in each case to the extent reasonably necessary to protect the Covered Person and/or the Company.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Quarterly Disclosure of Trading Arrangements</w:t>
      </w:r>
      <w:r>
        <w:rPr>
          <w:rFonts w:ascii="Times New Roman" w:hAnsi="Times New Roman"/>
          <w:color w:val="000000"/>
          <w:sz w:val="24"/>
        </w:rPr>
        <w:t>. In accordance with SEC rules and regulations, the Company will disclose in Form 10-Qs and Form 10-Ks whether, during the Company’s last fiscal quarter, any director or officer adopted or terminated (a) a Trading Plan for the purchase or sale of Company securities that is intended to satisfy the affirmative defense conditions of Rule 10b5-1(c) or (b) a non-Rule 10b5-1 trading arrangement. In such disclosure, the Company will provide a description of the material terms of such trading arrangement, including the name and title of the director or officer, the date of adoption or termination of the trading arrangement, the duration of the trading arrangement, and the aggregate number of Company securities to be sold or purchased under the trading arrangement.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left"/>
        <w:rPr/>
      </w:pPr>
      <w:r>
        <w:rPr>
          <w:rFonts w:ascii="Times New Roman" w:hAnsi="Times New Roman"/>
          <w:color w:val="000000"/>
          <w:sz w:val="24"/>
          <w:u w:val="single"/>
        </w:rPr>
        <w:t>Partnership Distributions</w:t>
      </w:r>
      <w:r>
        <w:rPr>
          <w:rFonts w:ascii="Times New Roman" w:hAnsi="Times New Roman"/>
          <w:color w:val="000000"/>
          <w:sz w:val="24"/>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left"/>
        <w:rPr/>
      </w:pPr>
      <w:r>
        <w:rPr>
          <w:rFonts w:ascii="Times New Roman" w:hAnsi="Times New Roman"/>
          <w:color w:val="000000"/>
          <w:sz w:val="24"/>
          <w:u w:val="single"/>
        </w:rPr>
        <w:t>Underwritten Public Offering</w:t>
      </w:r>
      <w:r>
        <w:rPr>
          <w:rFonts w:ascii="Times New Roman" w:hAnsi="Times New Roman"/>
          <w:color w:val="000000"/>
          <w:sz w:val="24"/>
        </w:rPr>
        <w:t>. Nothing in this policy is intended to limit the ability of any person to sell Company securities as a selling stockholder in an underwritten public offering pursuant to an effective registration statement in accordance with applicable securities law.</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REGULATION BTR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Individual Responsibility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Persons subject to this Policy have ethical and legal obligations to maintain the confidentiality of information about the Company and to not engage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Individulas may be subject to legal penalties and disciplinary action by law enforcement officials and/or the Company for any conduct prohibited by this Policy or applicable securities laws, as described in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Tipping Information to Others. Company personnel must not disclose non-public information about the Company to others outside the Company who do not have an obligation to maintain the confidentiality of such information. If the outsider trades on such information, penalties for insider trading may apply in these situations whether or not the insider derives any monetary benefit from the other person’s trading activities. Material non-public information is often inadvertently disclosed or overheard in casual, social conversations. Please take care to avoid such disclosures.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Confidentiality. Serious problems could be caused for the Company by the unauthorized disclosure of internal information about the Company, whether or not for the purpose of facilitating improper trading in the Company’s securities. Company personnel must closely safeguard material non-public information even within the Company, and only share it with colleagues on a need-to-know basis. Company personnel should not discuss internal Company matters or developments (whether or not they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It is important that all such communications on behalf of the Company be made only through an authorized officer under carefully controlled circumstances. Unless one is expressly authorized to the contrary, individuals should decline comment in response to inquiries and refer the inquirer to a senior leader.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PENALTIES FOR VIOLATION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tines and civil penalties, being barred from service as an officer or director of a public company, or imprisonment. Even proceedings that do not result in prosecution or damages can tarnish the Company’s or an individual’s reputation and irreparably damage a career.</w:t>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COMPANY EDUCATION AND ASSISTANCE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left"/>
        <w:rPr/>
      </w:pPr>
      <w:r>
        <w:rPr>
          <w:rFonts w:ascii="Times New Roman" w:hAnsi="Times New Roman"/>
          <w:color w:val="000000"/>
          <w:sz w:val="24"/>
          <w:u w:val="single"/>
        </w:rPr>
        <w:t>Education</w:t>
      </w:r>
      <w:r>
        <w:rPr>
          <w:rFonts w:ascii="Times New Roman" w:hAnsi="Times New Roman"/>
          <w:color w:val="000000"/>
          <w:sz w:val="24"/>
        </w:rPr>
        <w:t>. The Company shall take reasonable steps designed to ensure that all Directors and employees of the Company are educated about, and periodically reminded of, the federal securities law restrictions and Company policies regarding insider trading.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left"/>
        <w:rPr/>
      </w:pPr>
      <w:r>
        <w:rPr>
          <w:rFonts w:ascii="Times New Roman" w:hAnsi="Times New Roman"/>
          <w:color w:val="000000"/>
          <w:sz w:val="24"/>
          <w:u w:val="single"/>
        </w:rPr>
        <w:t>Assistance</w:t>
      </w:r>
      <w:r>
        <w:rPr>
          <w:rFonts w:ascii="Times New Roman" w:hAnsi="Times New Roman"/>
          <w:color w:val="000000"/>
          <w:sz w:val="24"/>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left"/>
        <w:rPr/>
      </w:pPr>
      <w:r>
        <w:rPr>
          <w:rFonts w:ascii="Times New Roman" w:hAnsi="Times New Roman"/>
          <w:color w:val="000000"/>
          <w:sz w:val="24"/>
          <w:u w:val="single"/>
        </w:rPr>
        <w:t>Limitation on Liability</w:t>
      </w:r>
      <w:r>
        <w:rPr>
          <w:rFonts w:ascii="Times New Roman" w:hAnsi="Times New Roman"/>
          <w:color w:val="000000"/>
          <w:sz w:val="24"/>
        </w:rPr>
        <w:t>. None of the Company, the Chief Financial Officer, or the Company’s other employees will have any liability for any delay in reviewing, or refusal of, a request to allow a pledge submitted pursuant to Section 2.3, a request for pre-clearance submitted pursuant to Section 3.3(a) or a trading plan submitted pursuant to Section 4.2. Notwithstanding any pre-clearance of a transaction pursuant to Section 3.3(a) or review of a trading plan pursuant to Section 4.2, none of the Company, the Chief Financial Officer, or the Company’s other employees assumes any liability for the legality or consequences of such transaction or trading plan to the person engaging in or adopting such transaction or trading plan.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6" w:name="sybx-ex21_1.htm"/>
      <w:bookmarkStart w:id="47" w:name="kssybxex21_1"/>
      <w:bookmarkEnd w:id="46"/>
      <w:bookmarkEnd w:id="47"/>
      <w:r>
        <w:rPr>
          <w:rFonts w:ascii="Times New Roman" w:hAnsi="Times New Roman"/>
          <w:b/>
          <w:color w:val="000000"/>
          <w:sz w:val="24"/>
        </w:rPr>
        <w:t>Exhibit 21.1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SUBSIDIARIES OF SYNLOGIC, INC.</w:t>
      </w:r>
    </w:p>
    <w:p>
      <w:pPr>
        <w:pStyle w:val="TextBody"/>
        <w:bidi w:val="0"/>
        <w:jc w:val="left"/>
        <w:rPr/>
      </w:pPr>
      <w:r>
        <w:rPr/>
        <w:t> </w:t>
      </w:r>
    </w:p>
    <w:tbl>
      <w:tblPr>
        <w:tblW w:w="4937" w:type="dxa"/>
        <w:jc w:val="left"/>
        <w:tblInd w:w="0" w:type="dxa"/>
        <w:tblLayout w:type="fixed"/>
        <w:tblCellMar>
          <w:top w:w="28" w:type="dxa"/>
          <w:left w:w="28" w:type="dxa"/>
          <w:bottom w:w="28" w:type="dxa"/>
          <w:right w:w="28" w:type="dxa"/>
        </w:tblCellMar>
      </w:tblPr>
      <w:tblGrid>
        <w:gridCol w:w="3436"/>
        <w:gridCol w:w="1501"/>
      </w:tblGrid>
      <w:tr>
        <w:trPr/>
        <w:tc>
          <w:tcPr>
            <w:tcW w:w="343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Subsidiary</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Jurisdiction</w:t>
            </w:r>
          </w:p>
        </w:tc>
      </w:tr>
      <w:tr>
        <w:trPr/>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Synlogic Operating Company, Inc.</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Delaware</w:t>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Synlogic Securities Corporation</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Massachusetts</w:t>
            </w:r>
          </w:p>
        </w:tc>
      </w:tr>
      <w:tr>
        <w:trPr/>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8" w:name="sybx-ex23_1.htm"/>
      <w:bookmarkStart w:id="49" w:name="kssybxex23_1"/>
      <w:bookmarkEnd w:id="48"/>
      <w:bookmarkEnd w:id="49"/>
      <w:r>
        <w:rPr>
          <w:rFonts w:ascii="Times New Roman" w:hAnsi="Times New Roman"/>
          <w:b/>
          <w:color w:val="000000"/>
          <w:sz w:val="24"/>
        </w:rPr>
        <w:t>Exhibit 23.1</w:t>
      </w:r>
      <w:r>
        <w:br w:type="page"/>
      </w:r>
    </w:p>
    <w:p>
      <w:pPr>
        <w:pStyle w:val="TextBody"/>
        <w:bidi w:val="0"/>
        <w:spacing w:before="240" w:after="283"/>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consent to the incorporation by reference in the registration statements (Nos. 333-207299, 333-210466, 333-220841, 333-223798, 333-230224, 333-237104, 333-237105, 333-254688, 333-254689, 333-263629, 333-263630, 333-270925, 333-270926, 333-283165, and 333-283164) on Form S-8, (Nos. 333-233139 and 333-289415) on Form S-3 and (Nos. 333-274421 and 333-274759) on Form S-1 of our report dated March 12, 2026, with respect to the consolidated financial statements of Synlogic, Inc. and subsidiaries.</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 KPMG LLP</w:t>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Boston, Massachusetts</w:t>
      </w:r>
    </w:p>
    <w:p>
      <w:pPr>
        <w:pStyle w:val="TextBody"/>
        <w:bidi w:val="0"/>
        <w:jc w:val="left"/>
        <w:rPr>
          <w:rFonts w:ascii="Arial" w:hAnsi="Arial"/>
          <w:color w:val="000000"/>
          <w:sz w:val="20"/>
        </w:rPr>
      </w:pPr>
      <w:r>
        <w:rPr>
          <w:rFonts w:ascii="Arial" w:hAnsi="Arial"/>
          <w:color w:val="000000"/>
          <w:sz w:val="20"/>
        </w:rPr>
        <w:t>March 12,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sybx-ex31_1.htm"/>
      <w:bookmarkStart w:id="51" w:name="kssybxex31_1"/>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UNDER SECTION 302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28" w:type="dxa"/>
        <w:jc w:val="left"/>
        <w:tblInd w:w="0" w:type="dxa"/>
        <w:tblLayout w:type="fixed"/>
        <w:tblCellMar>
          <w:top w:w="28" w:type="dxa"/>
          <w:left w:w="28" w:type="dxa"/>
          <w:bottom w:w="28" w:type="dxa"/>
          <w:right w:w="28" w:type="dxa"/>
        </w:tblCellMar>
      </w:tblPr>
      <w:tblGrid>
        <w:gridCol w:w="1891"/>
        <w:gridCol w:w="406"/>
        <w:gridCol w:w="243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sybx-ex31_2.htm"/>
      <w:bookmarkStart w:id="53" w:name="kssybxex31_2"/>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UNDER SECTION 302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293" w:type="dxa"/>
        <w:jc w:val="left"/>
        <w:tblInd w:w="0" w:type="dxa"/>
        <w:tblLayout w:type="fixed"/>
        <w:tblCellMar>
          <w:top w:w="28" w:type="dxa"/>
          <w:left w:w="28" w:type="dxa"/>
          <w:bottom w:w="28" w:type="dxa"/>
          <w:right w:w="28" w:type="dxa"/>
        </w:tblCellMar>
      </w:tblPr>
      <w:tblGrid>
        <w:gridCol w:w="1891"/>
        <w:gridCol w:w="406"/>
        <w:gridCol w:w="4996"/>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i/>
                <w:color w:val="000000"/>
                <w:sz w:val="20"/>
              </w:rPr>
              <w:t>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sybx-ex32.htm"/>
      <w:bookmarkStart w:id="55" w:name="kssybxex32"/>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Synlogic, Inc., a Delaware corporation (the “Company”), does hereby certify, to such officer’s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Report for the year ended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9637" w:type="dxa"/>
        <w:jc w:val="left"/>
        <w:tblInd w:w="0" w:type="dxa"/>
        <w:tblLayout w:type="fixed"/>
        <w:tblCellMar>
          <w:top w:w="28" w:type="dxa"/>
          <w:left w:w="28" w:type="dxa"/>
          <w:bottom w:w="28" w:type="dxa"/>
          <w:right w:w="28" w:type="dxa"/>
        </w:tblCellMar>
      </w:tblPr>
      <w:tblGrid>
        <w:gridCol w:w="1891"/>
        <w:gridCol w:w="109"/>
        <w:gridCol w:w="406"/>
        <w:gridCol w:w="72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2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Executive Officer and 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bookmarkStart w:id="56" w:name="sybx-ex97_1.htm"/>
      <w:bookmarkStart w:id="57" w:name="kssybxex97_1"/>
      <w:bookmarkEnd w:id="56"/>
      <w:bookmarkEnd w:id="57"/>
      <w:r>
        <w:rPr>
          <w:rFonts w:ascii="Times New Roman" w:hAnsi="Times New Roman"/>
          <w:b/>
          <w:color w:val="000000"/>
          <w:sz w:val="24"/>
        </w:rPr>
        <w:t>Exhibit 97.1</w:t>
      </w:r>
      <w:r>
        <w:br w:type="page"/>
      </w:r>
    </w:p>
    <w:p>
      <w:pPr>
        <w:pStyle w:val="TextBody"/>
        <w:bidi w:val="0"/>
        <w:spacing w:before="0" w:after="240"/>
        <w:jc w:val="center"/>
        <w:rPr/>
      </w:pPr>
      <w:r>
        <w:rPr/>
        <w:drawing>
          <wp:inline distT="0" distB="0" distL="0" distR="0">
            <wp:extent cx="1914525"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1914525" cy="714375"/>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Incentive Compensation Recovery Policy</w:t>
      </w:r>
    </w:p>
    <w:p>
      <w:pPr>
        <w:pStyle w:val="TextBody"/>
        <w:bidi w:val="0"/>
        <w:jc w:val="center"/>
        <w:rPr/>
      </w:pPr>
      <w:r>
        <w:rPr/>
        <w:t> </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Introduction</w:t>
      </w:r>
    </w:p>
    <w:p>
      <w:pPr>
        <w:pStyle w:val="TextBody"/>
        <w:bidi w:val="0"/>
        <w:spacing w:before="0" w:after="120"/>
        <w:jc w:val="both"/>
        <w:rPr>
          <w:rFonts w:ascii="Times New Roman" w:hAnsi="Times New Roman"/>
          <w:sz w:val="20"/>
        </w:rPr>
      </w:pPr>
      <w:r>
        <w:rPr>
          <w:rFonts w:ascii="Times New Roman" w:hAnsi="Times New Roman"/>
          <w:color w:val="252525"/>
          <w:sz w:val="24"/>
        </w:rPr>
        <w:t>The Board of Directors (the “</w:t>
      </w:r>
      <w:r>
        <w:rPr>
          <w:rFonts w:ascii="Times New Roman" w:hAnsi="Times New Roman"/>
          <w:b/>
          <w:color w:val="252525"/>
          <w:sz w:val="24"/>
        </w:rPr>
        <w:t>Board</w:t>
      </w:r>
      <w:r>
        <w:rPr>
          <w:rFonts w:ascii="Times New Roman" w:hAnsi="Times New Roman"/>
          <w:color w:val="252525"/>
          <w:sz w:val="20"/>
        </w:rPr>
        <w:t>”</w:t>
      </w:r>
      <w:r>
        <w:rPr>
          <w:rFonts w:ascii="Times New Roman" w:hAnsi="Times New Roman"/>
          <w:color w:val="252525"/>
          <w:sz w:val="24"/>
        </w:rPr>
        <w:t>) of Synlogic, Inc. (the “</w:t>
      </w:r>
      <w:r>
        <w:rPr>
          <w:rFonts w:ascii="Times New Roman" w:hAnsi="Times New Roman"/>
          <w:b/>
          <w:color w:val="252525"/>
          <w:sz w:val="24"/>
        </w:rPr>
        <w:t>Company</w:t>
      </w:r>
      <w:r>
        <w:rPr>
          <w:rFonts w:ascii="Times New Roman" w:hAnsi="Times New Roman"/>
          <w:color w:val="252525"/>
          <w:sz w:val="20"/>
        </w:rPr>
        <w:t>”</w:t>
      </w:r>
      <w:r>
        <w:rPr>
          <w:rFonts w:ascii="Times New Roman" w:hAnsi="Times New Roman"/>
          <w:color w:val="252525"/>
          <w:sz w:val="24"/>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hAnsi="Times New Roman"/>
          <w:b/>
          <w:color w:val="252525"/>
          <w:sz w:val="24"/>
        </w:rPr>
        <w:t>Policy</w:t>
      </w:r>
      <w:r>
        <w:rPr>
          <w:rFonts w:ascii="Times New Roman" w:hAnsi="Times New Roman"/>
          <w:color w:val="252525"/>
          <w:sz w:val="20"/>
        </w:rPr>
        <w:t>”</w:t>
      </w:r>
      <w:r>
        <w:rPr>
          <w:rFonts w:ascii="Times New Roman" w:hAnsi="Times New Roman"/>
          <w:color w:val="252525"/>
          <w:sz w:val="24"/>
        </w:rPr>
        <w:t>). This Policy is designed to comply with Section 10D of the Securities Exchange Act of 1934, as amended (the “</w:t>
      </w:r>
      <w:r>
        <w:rPr>
          <w:rFonts w:ascii="Times New Roman" w:hAnsi="Times New Roman"/>
          <w:b/>
          <w:color w:val="252525"/>
          <w:sz w:val="24"/>
        </w:rPr>
        <w:t>Exchange Act</w:t>
      </w:r>
      <w:r>
        <w:rPr>
          <w:rFonts w:ascii="Times New Roman" w:hAnsi="Times New Roman"/>
          <w:color w:val="252525"/>
          <w:sz w:val="20"/>
        </w:rPr>
        <w:t>”</w:t>
      </w:r>
      <w:r>
        <w:rPr>
          <w:rFonts w:ascii="Times New Roman" w:hAnsi="Times New Roman"/>
          <w:color w:val="252525"/>
          <w:sz w:val="24"/>
        </w:rPr>
        <w:t>) and final rules and amendments adopted by the Securities and Exchange Commission (the “</w:t>
      </w:r>
      <w:r>
        <w:rPr>
          <w:rFonts w:ascii="Times New Roman" w:hAnsi="Times New Roman"/>
          <w:b/>
          <w:color w:val="252525"/>
          <w:sz w:val="24"/>
        </w:rPr>
        <w:t>SEC</w:t>
      </w:r>
      <w:r>
        <w:rPr>
          <w:rFonts w:ascii="Times New Roman" w:hAnsi="Times New Roman"/>
          <w:color w:val="252525"/>
          <w:sz w:val="20"/>
        </w:rPr>
        <w:t>”</w:t>
      </w:r>
      <w:r>
        <w:rPr>
          <w:rFonts w:ascii="Times New Roman" w:hAnsi="Times New Roman"/>
          <w:color w:val="252525"/>
          <w:sz w:val="24"/>
        </w:rPr>
        <w:t>) to implement the aforementioned legislation.</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Administration</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Covered Executives</w:t>
      </w:r>
    </w:p>
    <w:p>
      <w:pPr>
        <w:pStyle w:val="TextBody"/>
        <w:bidi w:val="0"/>
        <w:spacing w:before="0" w:after="120"/>
        <w:jc w:val="both"/>
        <w:rPr>
          <w:rFonts w:ascii="Times New Roman" w:hAnsi="Times New Roman"/>
          <w:sz w:val="20"/>
        </w:rPr>
      </w:pPr>
      <w:r>
        <w:rPr>
          <w:rFonts w:ascii="Times New Roman" w:hAnsi="Times New Roman"/>
          <w:color w:val="252525"/>
          <w:sz w:val="24"/>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 w:hAnsi="Times New Roman"/>
          <w:b/>
          <w:color w:val="252525"/>
          <w:sz w:val="24"/>
        </w:rPr>
        <w:t>Covered Executives</w:t>
      </w:r>
      <w:r>
        <w:rPr>
          <w:rFonts w:ascii="Times New Roman" w:hAnsi="Times New Roman"/>
          <w:color w:val="252525"/>
          <w:sz w:val="20"/>
        </w:rPr>
        <w:t>”</w:t>
      </w:r>
      <w:r>
        <w:rPr>
          <w:rFonts w:ascii="Times New Roman" w:hAnsi="Times New Roman"/>
          <w:color w:val="252525"/>
          <w:sz w:val="24"/>
        </w:rPr>
        <w:t>).</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Incentive-Based Compensation</w:t>
      </w:r>
    </w:p>
    <w:p>
      <w:pPr>
        <w:pStyle w:val="TextBody"/>
        <w:bidi w:val="0"/>
        <w:spacing w:before="0" w:after="120"/>
        <w:jc w:val="both"/>
        <w:rPr>
          <w:rFonts w:ascii="Times New Roman" w:hAnsi="Times New Roman"/>
          <w:sz w:val="20"/>
        </w:rPr>
      </w:pPr>
      <w:r>
        <w:rPr>
          <w:rFonts w:ascii="Times New Roman" w:hAnsi="Times New Roman"/>
          <w:color w:val="252525"/>
          <w:sz w:val="24"/>
        </w:rPr>
        <w:t>For purposes of this Policy, incentive-based compensation (“</w:t>
      </w:r>
      <w:r>
        <w:rPr>
          <w:rFonts w:ascii="Times New Roman" w:hAnsi="Times New Roman"/>
          <w:b/>
          <w:color w:val="252525"/>
          <w:sz w:val="24"/>
        </w:rPr>
        <w:t>Incentive-Based Compensation</w:t>
      </w:r>
      <w:r>
        <w:rPr>
          <w:rFonts w:ascii="Times New Roman" w:hAnsi="Times New Roman"/>
          <w:color w:val="252525"/>
          <w:sz w:val="20"/>
        </w:rPr>
        <w:t>”</w:t>
      </w:r>
      <w:r>
        <w:rPr>
          <w:rFonts w:ascii="Times New Roman" w:hAnsi="Times New Roman"/>
          <w:color w:val="252525"/>
          <w:sz w:val="24"/>
        </w:rPr>
        <w:t>) includes any compensation that is granted, earned, or vested based wholly or in part upon the attainment of any financial reporting measures that are determined and presented in accordance with the accounting principles (“</w:t>
      </w:r>
      <w:r>
        <w:rPr>
          <w:rFonts w:ascii="Times New Roman" w:hAnsi="Times New Roman"/>
          <w:b/>
          <w:color w:val="252525"/>
          <w:sz w:val="24"/>
        </w:rPr>
        <w:t>GAAP Measures</w:t>
      </w:r>
      <w:r>
        <w:rPr>
          <w:rFonts w:ascii="Times New Roman" w:hAnsi="Times New Roman"/>
          <w:color w:val="252525"/>
          <w:sz w:val="20"/>
        </w:rPr>
        <w:t>”</w:t>
      </w:r>
      <w:r>
        <w:rPr>
          <w:rFonts w:ascii="Times New Roman" w:hAnsi="Times New Roman"/>
          <w:color w:val="252525"/>
          <w:sz w:val="24"/>
        </w:rPr>
        <w:t>) used in preparing the Company’s financial statements and any measures derived wholly or in part from such measures, as well as non-GAAP Measures, stock price, and total shareholder return (collectively, “</w:t>
      </w:r>
      <w:r>
        <w:rPr>
          <w:rFonts w:ascii="Times New Roman" w:hAnsi="Times New Roman"/>
          <w:b/>
          <w:color w:val="252525"/>
          <w:sz w:val="24"/>
        </w:rPr>
        <w:t>Financial Reporting Measures</w:t>
      </w:r>
      <w:r>
        <w:rPr>
          <w:rFonts w:ascii="Times New Roman" w:hAnsi="Times New Roman"/>
          <w:color w:val="252525"/>
          <w:sz w:val="20"/>
        </w:rPr>
        <w:t>”</w:t>
      </w:r>
      <w:r>
        <w:rPr>
          <w:rFonts w:ascii="Times New Roman" w:hAnsi="Times New Roman"/>
          <w:color w:val="252525"/>
          <w:sz w:val="24"/>
        </w:rPr>
        <w:t>); however, it does not include: (i) base salaries; (ii) discretionary cash bonuses; (iii) awards (either cash or equity) that are based upon subjective, strategic or operational standards; and (iv) equity awards that vest solely on the passage of time.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w:t>
      </w:r>
      <w:r>
        <w:rPr>
          <w:rFonts w:ascii="Times New Roman" w:hAnsi="Times New Roman"/>
          <w:color w:val="252525"/>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considered received upon satisfaction of the performance-based conditions, even if such award continues to be subject to the time-based vesting conditions.</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the purposes of this Policy, Incentive-Based Compensation may include, among other things, any of the following:</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Annual bonuses and other short- and long-term cash incentives.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Stock options.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Stock appreciation rights.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Restricted stock or restricted stock units.</w:t>
      </w:r>
    </w:p>
    <w:p>
      <w:pPr>
        <w:pStyle w:val="TextBody"/>
        <w:bidi w:val="0"/>
        <w:spacing w:before="0" w:after="0"/>
        <w:jc w:val="both"/>
        <w:rPr>
          <w:color w:val="252525"/>
        </w:rPr>
      </w:pPr>
      <w:r>
        <w:rPr>
          <w:color w:val="252525"/>
        </w:rPr>
        <w:t>•</w:t>
      </w:r>
    </w:p>
    <w:p>
      <w:pPr>
        <w:pStyle w:val="TextBody"/>
        <w:bidi w:val="0"/>
        <w:jc w:val="both"/>
        <w:rPr>
          <w:rFonts w:ascii="Times New Roman" w:hAnsi="Times New Roman"/>
          <w:color w:val="252525"/>
          <w:sz w:val="24"/>
        </w:rPr>
      </w:pPr>
      <w:r>
        <w:rPr>
          <w:rFonts w:ascii="Times New Roman" w:hAnsi="Times New Roman"/>
          <w:color w:val="252525"/>
          <w:sz w:val="24"/>
        </w:rPr>
        <w:t>Performance shares or performance units.</w:t>
      </w:r>
    </w:p>
    <w:p>
      <w:pPr>
        <w:pStyle w:val="TextBody"/>
        <w:bidi w:val="0"/>
        <w:jc w:val="both"/>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purposes of this Policy, Financial Reporting Measures may include, among other things, any of the following:</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 xml:space="preserve">Company stock price. </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Total shareholder return.</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Revenues.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Net income.</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Earnings before interest, taxes, depreciation, and amortization (EBITDA).</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Funds from operations.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Liquidity measures such as working capital or operating cash flow.</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Return measures such as return on invested capital or return on assets.</w:t>
      </w:r>
    </w:p>
    <w:p>
      <w:pPr>
        <w:pStyle w:val="TextBody"/>
        <w:bidi w:val="0"/>
        <w:spacing w:before="0" w:after="240"/>
        <w:jc w:val="both"/>
        <w:rPr>
          <w:color w:val="252525"/>
        </w:rPr>
      </w:pPr>
      <w:r>
        <w:rPr>
          <w:color w:val="252525"/>
        </w:rPr>
        <w:t>•</w:t>
      </w:r>
    </w:p>
    <w:p>
      <w:pPr>
        <w:pStyle w:val="TextBody"/>
        <w:bidi w:val="0"/>
        <w:spacing w:before="0" w:after="240"/>
        <w:jc w:val="both"/>
        <w:rPr>
          <w:rFonts w:ascii="Times New Roman" w:hAnsi="Times New Roman"/>
          <w:color w:val="252525"/>
          <w:sz w:val="24"/>
        </w:rPr>
      </w:pPr>
      <w:r>
        <w:rPr>
          <w:rFonts w:ascii="Times New Roman" w:hAnsi="Times New Roman"/>
          <w:color w:val="252525"/>
          <w:sz w:val="24"/>
        </w:rPr>
        <w:t>Earnings measures such as earnings per share.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Recoupment; Accounting Restatement</w:t>
      </w:r>
    </w:p>
    <w:p>
      <w:pPr>
        <w:pStyle w:val="TextBody"/>
        <w:bidi w:val="0"/>
        <w:spacing w:before="0" w:after="120"/>
        <w:jc w:val="both"/>
        <w:rPr>
          <w:rFonts w:ascii="Times New Roman" w:hAnsi="Times New Roman"/>
          <w:sz w:val="20"/>
        </w:rPr>
      </w:pPr>
      <w:r>
        <w:rPr>
          <w:rFonts w:ascii="Times New Roman" w:hAnsi="Times New Roman"/>
          <w:color w:val="252525"/>
          <w:sz w:val="24"/>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 w:hAnsi="Times New Roman"/>
          <w:b/>
          <w:color w:val="252525"/>
          <w:sz w:val="24"/>
        </w:rPr>
        <w:t>Look-Back Period</w:t>
      </w:r>
      <w:r>
        <w:rPr>
          <w:rFonts w:ascii="Times New Roman" w:hAnsi="Times New Roman"/>
          <w:color w:val="252525"/>
          <w:sz w:val="20"/>
        </w:rPr>
        <w:t>”</w:t>
      </w:r>
      <w:r>
        <w:rPr>
          <w:rFonts w:ascii="Times New Roman" w:hAnsi="Times New Roman"/>
          <w:color w:val="252525"/>
          <w:sz w:val="24"/>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Recovery of the Incentive-Based Compensation is only required when the excess award is received by a Covered Executive (i) after the beginning of their service as a Covered Executive and (ii) when that Covered Executive served in such covered position during the Lookback Period.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Excess Incentive Compensation: Amount Subject to Recovery</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Method of Recoupment</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Board will determine, in its sole discretion, subject to applicable law, the method for recouping Incentive Compensation hereunder, which may include, without limitation:</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requiring reimbursement of cash Incentive-Based Compensation previously paid;</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seeking recovery of any gain realized on the vesting, exercise, settlement, sale, transfer, or other disposition of any equity-based awards;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offsetting the recouped amount from any compensation otherwise owed by the Company to the Covered Executive;</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cancelling outstanding vested or unvested equity awards; and/or</w:t>
      </w:r>
    </w:p>
    <w:p>
      <w:pPr>
        <w:pStyle w:val="TextBody"/>
        <w:bidi w:val="0"/>
        <w:spacing w:before="0" w:after="240"/>
        <w:jc w:val="both"/>
        <w:rPr>
          <w:color w:val="252525"/>
        </w:rPr>
      </w:pPr>
      <w:r>
        <w:rPr>
          <w:color w:val="252525"/>
        </w:rPr>
        <w:t>•</w:t>
      </w:r>
    </w:p>
    <w:p>
      <w:pPr>
        <w:pStyle w:val="TextBody"/>
        <w:bidi w:val="0"/>
        <w:spacing w:before="0" w:after="240"/>
        <w:jc w:val="both"/>
        <w:rPr>
          <w:rFonts w:ascii="Times New Roman" w:hAnsi="Times New Roman"/>
          <w:color w:val="252525"/>
          <w:sz w:val="24"/>
        </w:rPr>
      </w:pPr>
      <w:r>
        <w:rPr>
          <w:rFonts w:ascii="Times New Roman" w:hAnsi="Times New Roman"/>
          <w:color w:val="252525"/>
          <w:sz w:val="24"/>
        </w:rPr>
        <w:t>taking any other remedial and recovery action permitted by law, as determined by the Board.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VIII.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No Indemnification; Successors</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IX.</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Exception to Enforcement</w:t>
      </w:r>
    </w:p>
    <w:p>
      <w:pPr>
        <w:pStyle w:val="TextBody"/>
        <w:bidi w:val="0"/>
        <w:spacing w:before="0" w:after="120"/>
        <w:jc w:val="both"/>
        <w:rPr>
          <w:rFonts w:ascii="Times New Roman" w:hAnsi="Times New Roman"/>
          <w:sz w:val="20"/>
        </w:rPr>
      </w:pPr>
      <w:r>
        <w:rPr>
          <w:rFonts w:ascii="Times New Roman" w:hAnsi="Times New Roman"/>
          <w:color w:val="252525"/>
          <w:sz w:val="24"/>
        </w:rPr>
        <w:t>The Board shall recover any excess Incentive-Based Compensation in accordance with this Policy unless such recovery would be impracticable, as determined by the Board in accordance</w:t>
      </w:r>
      <w:r>
        <w:rPr>
          <w:rFonts w:ascii="Times New Roman" w:hAnsi="Times New Roman"/>
          <w:color w:val="252525"/>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with Rule 10D-1 of the Exchange Act and any applicable rules or standards adopted by the SEC and the listing standards of any national securities exchange on which the Company’s securities are listed.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Effective Date</w:t>
      </w:r>
    </w:p>
    <w:p>
      <w:pPr>
        <w:pStyle w:val="TextBody"/>
        <w:bidi w:val="0"/>
        <w:spacing w:before="0" w:after="120"/>
        <w:jc w:val="both"/>
        <w:rPr>
          <w:rFonts w:ascii="Times New Roman" w:hAnsi="Times New Roman"/>
          <w:sz w:val="20"/>
        </w:rPr>
      </w:pPr>
      <w:r>
        <w:rPr>
          <w:rFonts w:ascii="Times New Roman" w:hAnsi="Times New Roman"/>
          <w:color w:val="252525"/>
          <w:sz w:val="24"/>
        </w:rPr>
        <w:t>This Policy shall be effective as of the date it is adopted by the Board (the “</w:t>
      </w:r>
      <w:r>
        <w:rPr>
          <w:rFonts w:ascii="Times New Roman" w:hAnsi="Times New Roman"/>
          <w:b/>
          <w:color w:val="252525"/>
          <w:sz w:val="24"/>
        </w:rPr>
        <w:t>Effective Date</w:t>
      </w:r>
      <w:r>
        <w:rPr>
          <w:rFonts w:ascii="Times New Roman" w:hAnsi="Times New Roman"/>
          <w:color w:val="252525"/>
          <w:sz w:val="20"/>
        </w:rPr>
        <w:t>”</w:t>
      </w:r>
      <w:r>
        <w:rPr>
          <w:rFonts w:ascii="Times New Roman" w:hAnsi="Times New Roman"/>
          <w:color w:val="252525"/>
          <w:sz w:val="24"/>
        </w:rPr>
        <w:t>) and shall apply to Incentive-Based Compensation that is received by a Covered Executive on or after that date, as determined by the Board in accordance with applicable rules or standards adopted by the SEC and the listing standards of any national securities exchange on which the Company’s securities are listed.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Amendment; Termination</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Board may amend this Policy from time to time in its discretion and shall amend this Policy as it deems necessary to comply with any rules or standards adopted by the SEC and the listing standards of any a national securities exchange on which the Company’s securities are listed. The Board may terminate this Policy at any time.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XIII.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Other Recoupment Rights</w:t>
      </w:r>
    </w:p>
    <w:p>
      <w:pPr>
        <w:pStyle w:val="TextBody"/>
        <w:bidi w:val="0"/>
        <w:spacing w:before="0" w:after="240"/>
        <w:jc w:val="both"/>
        <w:rPr>
          <w:rFonts w:ascii="Times New Roman" w:hAnsi="Times New Roman"/>
          <w:color w:val="252525"/>
          <w:sz w:val="24"/>
        </w:rPr>
      </w:pPr>
      <w:r>
        <w:rPr>
          <w:rFonts w:ascii="Times New Roman" w:hAnsi="Times New Roman"/>
          <w:color w:val="252525"/>
          <w:sz w:val="24"/>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7599/000110465917032941/a17-13113_1ex2d1.htm" TargetMode="External"/><Relationship Id="rId3" Type="http://schemas.openxmlformats.org/officeDocument/2006/relationships/hyperlink" Target="https://www.sec.gov/Archives/edgar/data/1527599/000110465917032941/a17-13113_1ex2d1.htm" TargetMode="External"/><Relationship Id="rId4" Type="http://schemas.openxmlformats.org/officeDocument/2006/relationships/hyperlink" Target="https://www.sec.gov/Archives/edgar/data/1527599/000110465915069368/a15-14644_8ex3d1.htm" TargetMode="External"/><Relationship Id="rId5" Type="http://schemas.openxmlformats.org/officeDocument/2006/relationships/hyperlink" Target="https://www.sec.gov/Archives/edgar/data/1527599/000119312517270395/d431294dex31.htm" TargetMode="External"/><Relationship Id="rId6" Type="http://schemas.openxmlformats.org/officeDocument/2006/relationships/hyperlink" Target="https://www.sec.gov/Archives/edgar/data/1527599/000119312517270395/d431294dex32.htm" TargetMode="External"/><Relationship Id="rId7" Type="http://schemas.openxmlformats.org/officeDocument/2006/relationships/hyperlink" Target="https://www.sec.gov/Archives/edgar/data/1527599/000119312523167885/d520938dex31.htm" TargetMode="External"/><Relationship Id="rId8" Type="http://schemas.openxmlformats.org/officeDocument/2006/relationships/hyperlink" Target="https://www.sec.gov/Archives/edgar/data/1527599/000119312523245646/d556575dex31.htm" TargetMode="External"/><Relationship Id="rId9" Type="http://schemas.openxmlformats.org/officeDocument/2006/relationships/hyperlink" Target="https://www.sec.gov/Archives/edgar/data/1527599/000110465915069368/a15-14644_8ex3d2.htm" TargetMode="External"/><Relationship Id="rId10" Type="http://schemas.openxmlformats.org/officeDocument/2006/relationships/hyperlink" Target="https://www.sec.gov/Archives/edgar/data/1527599/000119312524039969/d768289dex31.htm" TargetMode="External"/><Relationship Id="rId11" Type="http://schemas.openxmlformats.org/officeDocument/2006/relationships/hyperlink" Target="https://www.sec.gov/Archives/edgar/data/1527599/000104746915007386/a2226006zex-4_2.htm" TargetMode="External"/><Relationship Id="rId12" Type="http://schemas.openxmlformats.org/officeDocument/2006/relationships/hyperlink" Target="https://www.sec.gov/Archives/edgar/data/1527599/000119312519170721/d766098dex41.htm" TargetMode="External"/><Relationship Id="rId13" Type="http://schemas.openxmlformats.org/officeDocument/2006/relationships/hyperlink" Target="https://www.sec.gov/Archives/edgar/data/1527599/000119312523246542/d741024dex41.htm" TargetMode="External"/><Relationship Id="rId14" Type="http://schemas.openxmlformats.org/officeDocument/2006/relationships/hyperlink" Target="https://www.sec.gov/Archives/edgar/data/1527599/000119312523246542/d741024dex42.htm" TargetMode="External"/><Relationship Id="rId15" Type="http://schemas.openxmlformats.org/officeDocument/2006/relationships/hyperlink" Target="https://www.sec.gov/Archives/edgar/data/1527599/000156459020010261/sybx-ex43_732.htm" TargetMode="External"/><Relationship Id="rId16" Type="http://schemas.openxmlformats.org/officeDocument/2006/relationships/hyperlink" Target="https://www.sec.gov/Archives/edgar/data/1527599/000156459018006323/sybx-ex101_397.htm" TargetMode="External"/><Relationship Id="rId17" Type="http://schemas.openxmlformats.org/officeDocument/2006/relationships/hyperlink" Target="https://www.sec.gov/Archives/edgar/data/1527599/000104746915007251/a2225898zex-10_9b.htm" TargetMode="External"/><Relationship Id="rId18" Type="http://schemas.openxmlformats.org/officeDocument/2006/relationships/hyperlink" Target="https://www.sec.gov/Archives/edgar/data/1527599/000104746915007251/a2225898zex-10_9c.htm" TargetMode="External"/><Relationship Id="rId19" Type="http://schemas.openxmlformats.org/officeDocument/2006/relationships/hyperlink" Target="https://www.sec.gov/Archives/edgar/data/1527599/000156459018006323/sybx-ex104_396.htm" TargetMode="External"/><Relationship Id="rId20" Type="http://schemas.openxmlformats.org/officeDocument/2006/relationships/hyperlink" Target="https://www.sec.gov/Archives/edgar/data/1527599/000119312517340965/d458814dex1017.htm" TargetMode="External"/><Relationship Id="rId21" Type="http://schemas.openxmlformats.org/officeDocument/2006/relationships/hyperlink" Target="https://www.sec.gov/ix?doc=/Archives/edgar/data/1527599/000095017024033146/sybx-20231231.htm" TargetMode="External"/><Relationship Id="rId22" Type="http://schemas.openxmlformats.org/officeDocument/2006/relationships/hyperlink" Target="https://www.sec.gov/ix?doc=/Archives/edgar/data/1527599/000095017024033146/sybx-20231231.htm" TargetMode="External"/><Relationship Id="rId23" Type="http://schemas.openxmlformats.org/officeDocument/2006/relationships/hyperlink" Target="https://www.sec.gov/Archives/edgar/data/1527599/000156459018006323/sybx-ex106_235.htm" TargetMode="External"/><Relationship Id="rId24" Type="http://schemas.openxmlformats.org/officeDocument/2006/relationships/hyperlink" Target="https://www.sec.gov/Archives/edgar/data/1527599/000104746915007251/a2225898zex-10_13.htm" TargetMode="External"/><Relationship Id="rId25" Type="http://schemas.openxmlformats.org/officeDocument/2006/relationships/hyperlink" Target="https://www.sec.gov/Archives/edgar/data/1527599/000095017025034820/sybx-ex10_10.htm" TargetMode="External"/><Relationship Id="rId26" Type="http://schemas.openxmlformats.org/officeDocument/2006/relationships/hyperlink" Target="https://www.sec.gov/Archives/edgar/data/1527599/000095017025034820/sybx-ex10_11.htm" TargetMode="External"/><Relationship Id="rId27" Type="http://schemas.openxmlformats.org/officeDocument/2006/relationships/hyperlink" Target="https://www.sec.gov/Archives/edgar/data/1527599/000095017025034820/sybx-ex10_12.htm" TargetMode="External"/><Relationship Id="rId28" Type="http://schemas.openxmlformats.org/officeDocument/2006/relationships/hyperlink" Target="https://www.sec.gov/Archives/edgar/data/1527599/000095017024033146/sybx-ex10_16.htm" TargetMode="External"/><Relationship Id="rId29" Type="http://schemas.openxmlformats.org/officeDocument/2006/relationships/hyperlink" Target="https://www.sec.gov/Archives/edgar/data/1527599/000119312517270395/d431294dex1013.htm" TargetMode="External"/><Relationship Id="rId30" Type="http://schemas.openxmlformats.org/officeDocument/2006/relationships/hyperlink" Target="https://www.sec.gov/Archives/edgar/data/1527599/000119312519321039/d853861dex101.htm" TargetMode="External"/><Relationship Id="rId31" Type="http://schemas.openxmlformats.org/officeDocument/2006/relationships/hyperlink" Target="https://www.sec.gov/Archives/edgar/data/1527599/000095017024093282/sybx-ex10_2.htm" TargetMode="External"/><Relationship Id="rId32" Type="http://schemas.openxmlformats.org/officeDocument/2006/relationships/hyperlink" Target="https://www.sec.gov/Archives/edgar/data/1527599/000095017024093282/sybx-ex10_2.htm" TargetMode="External"/><Relationship Id="rId33" Type="http://schemas.openxmlformats.org/officeDocument/2006/relationships/hyperlink" Target="https://www.sec.gov/Archives/edgar/data/1527599/000119312525319653/sybx-ex10_1.htm" TargetMode="External"/><Relationship Id="rId34" Type="http://schemas.openxmlformats.org/officeDocument/2006/relationships/image" Target="media/image1.gif"/><Relationship Id="rId35" Type="http://schemas.openxmlformats.org/officeDocument/2006/relationships/image" Target="media/image1.gif"/><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40100</Words>
  <Characters>223745</Characters>
  <CharactersWithSpaces>264124</CharactersWithSpaces>
  <Paragraphs>5408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