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(RULE 13d-101)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RULE 13d-1(a)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AMENDMENTS THERETO FILED PURSUANT TO RULE 13d-2(a)</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No.1)*</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Synlogic,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87166L100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Nathalie Auber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Sofinnova Ventures,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3000 Sand Hill Road, Bldg 4, Suite 250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Menlo Park, CA 94025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681-8420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Linda Daley,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 Gunderson Dettmer Stough Villeneuve Franklin &amp; Hachigian,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1200 Seaport Blvd., Redwood City, CA 94063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(650) 463-5243</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August 28, 2017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Rule 240.13d-7 for other parties 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This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8"/>
                <w:szCs w:val="18"/>
                <w:color w:val="auto"/>
              </w:rPr>
              <w:t>CUSIP NO. 87166L100</w:t>
            </w:r>
          </w:p>
        </w:tc>
        <w:tc>
          <w:tcPr>
            <w:tcW w:w="7540" w:type="dxa"/>
            <w:vAlign w:val="bottom"/>
          </w:tcPr>
          <w:p>
            <w:pPr>
              <w:ind w:left="3120"/>
              <w:spacing w:after="0"/>
              <w:rPr>
                <w:sz w:val="20"/>
                <w:szCs w:val="20"/>
                <w:color w:val="auto"/>
              </w:rPr>
            </w:pPr>
            <w:r>
              <w:rPr>
                <w:rFonts w:ascii="Arial" w:cs="Arial" w:eastAsia="Arial" w:hAnsi="Arial"/>
                <w:sz w:val="18"/>
                <w:szCs w:val="18"/>
                <w:color w:val="auto"/>
              </w:rPr>
              <w:t>13D</w:t>
            </w:r>
          </w:p>
        </w:tc>
        <w:tc>
          <w:tcPr>
            <w:tcW w:w="1440" w:type="dxa"/>
            <w:vAlign w:val="bottom"/>
          </w:tcPr>
          <w:p>
            <w:pPr>
              <w:jc w:val="right"/>
              <w:spacing w:after="0"/>
              <w:rPr>
                <w:sz w:val="20"/>
                <w:szCs w:val="20"/>
                <w:color w:val="auto"/>
              </w:rPr>
            </w:pPr>
            <w:r>
              <w:rPr>
                <w:rFonts w:ascii="Arial" w:cs="Arial" w:eastAsia="Arial" w:hAnsi="Arial"/>
                <w:sz w:val="18"/>
                <w:szCs w:val="18"/>
                <w:color w:val="auto"/>
              </w:rPr>
              <w:t>Page 2 of 14</w:t>
            </w:r>
          </w:p>
        </w:tc>
        <w:tc>
          <w:tcPr>
            <w:tcW w:w="0" w:type="dxa"/>
            <w:vAlign w:val="bottom"/>
          </w:tcPr>
          <w:p>
            <w:pPr>
              <w:spacing w:after="0"/>
              <w:rPr>
                <w:sz w:val="1"/>
                <w:szCs w:val="1"/>
                <w:color w:val="auto"/>
              </w:rPr>
            </w:pPr>
          </w:p>
        </w:tc>
      </w:tr>
      <w:tr>
        <w:trPr>
          <w:trHeight w:val="432"/>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60" w:type="dxa"/>
            <w:vAlign w:val="bottom"/>
            <w:tcBorders>
              <w:right w:val="single" w:sz="8" w:color="auto"/>
            </w:tcBorders>
          </w:tcPr>
          <w:p>
            <w:pPr>
              <w:spacing w:after="0"/>
              <w:rPr>
                <w:sz w:val="21"/>
                <w:szCs w:val="21"/>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340" w:type="dxa"/>
            <w:vAlign w:val="bottom"/>
            <w:gridSpan w:val="2"/>
          </w:tcPr>
          <w:p>
            <w:pPr>
              <w:ind w:left="220"/>
              <w:spacing w:after="0"/>
              <w:rPr>
                <w:sz w:val="20"/>
                <w:szCs w:val="20"/>
                <w:color w:val="auto"/>
              </w:rPr>
            </w:pPr>
            <w:r>
              <w:rPr>
                <w:rFonts w:ascii="Arial" w:cs="Arial" w:eastAsia="Arial" w:hAnsi="Arial"/>
                <w:sz w:val="18"/>
                <w:szCs w:val="18"/>
                <w:color w:val="auto"/>
              </w:rPr>
              <w:t>Sofinnova Venture Partners VIII, L.P. (“SVP VIII”)</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560" w:type="dxa"/>
            <w:vAlign w:val="bottom"/>
            <w:tcBorders>
              <w:right w:val="single" w:sz="8" w:color="auto"/>
            </w:tcBorders>
          </w:tcPr>
          <w:p>
            <w:pPr>
              <w:spacing w:after="0"/>
              <w:rPr>
                <w:sz w:val="22"/>
                <w:szCs w:val="22"/>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4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4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75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560" w:type="dxa"/>
            <w:vAlign w:val="bottom"/>
            <w:tcBorders>
              <w:right w:val="single" w:sz="8" w:color="auto"/>
            </w:tcBorders>
          </w:tcPr>
          <w:p>
            <w:pPr>
              <w:spacing w:after="0"/>
              <w:rPr>
                <w:sz w:val="21"/>
                <w:szCs w:val="21"/>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SOURCE OF FUNDS</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WC</w:t>
            </w:r>
          </w:p>
        </w:tc>
        <w:tc>
          <w:tcPr>
            <w:tcW w:w="754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560" w:type="dxa"/>
            <w:vAlign w:val="bottom"/>
            <w:tcBorders>
              <w:right w:val="single" w:sz="8" w:color="auto"/>
            </w:tcBorders>
          </w:tcPr>
          <w:p>
            <w:pPr>
              <w:spacing w:after="0"/>
              <w:rPr>
                <w:sz w:val="24"/>
                <w:szCs w:val="24"/>
                <w:color w:val="auto"/>
              </w:rPr>
            </w:pPr>
          </w:p>
        </w:tc>
        <w:tc>
          <w:tcPr>
            <w:tcW w:w="9140" w:type="dxa"/>
            <w:vAlign w:val="bottom"/>
            <w:gridSpan w:val="3"/>
          </w:tcPr>
          <w:p>
            <w:pPr>
              <w:ind w:left="4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560" w:type="dxa"/>
            <w:vAlign w:val="bottom"/>
            <w:tcBorders>
              <w:right w:val="single" w:sz="8" w:color="auto"/>
            </w:tcBorders>
          </w:tcPr>
          <w:p>
            <w:pPr>
              <w:spacing w:after="0"/>
              <w:rPr>
                <w:sz w:val="21"/>
                <w:szCs w:val="21"/>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w w:val="94"/>
              </w:rPr>
              <w:t>Delaware</w:t>
            </w:r>
          </w:p>
        </w:tc>
        <w:tc>
          <w:tcPr>
            <w:tcW w:w="80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7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574,972 shares, except that Sofinnova Management VIII, L.L.C. (“SM VIII”), the general partner of SVP VIII, may be</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deemed to have sole voting power, and Dr. Michael F. Powell (“Powell”), Dr. James I. Healy (“Healy”), and Dr. Anand</w:t>
            </w:r>
          </w:p>
        </w:tc>
        <w:tc>
          <w:tcPr>
            <w:tcW w:w="0" w:type="dxa"/>
            <w:vAlign w:val="bottom"/>
          </w:tcPr>
          <w:p>
            <w:pPr>
              <w:spacing w:after="0"/>
              <w:rPr>
                <w:sz w:val="1"/>
                <w:szCs w:val="1"/>
                <w:color w:val="auto"/>
              </w:rPr>
            </w:pPr>
          </w:p>
        </w:tc>
      </w:tr>
      <w:tr>
        <w:trPr>
          <w:trHeight w:val="176"/>
        </w:trPr>
        <w:tc>
          <w:tcPr>
            <w:tcW w:w="28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8980" w:type="dxa"/>
            <w:vAlign w:val="bottom"/>
            <w:tcBorders>
              <w:right w:val="single" w:sz="8" w:color="auto"/>
            </w:tcBorders>
            <w:gridSpan w:val="2"/>
          </w:tcPr>
          <w:p>
            <w:pPr>
              <w:ind w:left="40"/>
              <w:spacing w:after="0" w:line="176" w:lineRule="exact"/>
              <w:rPr>
                <w:sz w:val="20"/>
                <w:szCs w:val="20"/>
                <w:color w:val="auto"/>
              </w:rPr>
            </w:pPr>
            <w:r>
              <w:rPr>
                <w:rFonts w:ascii="Arial" w:cs="Arial" w:eastAsia="Arial" w:hAnsi="Arial"/>
                <w:sz w:val="18"/>
                <w:szCs w:val="18"/>
                <w:color w:val="auto"/>
                <w:w w:val="98"/>
              </w:rPr>
              <w:t>Mehra (“Mehra”), the managing members of SM VIII, may be deemed to have shared power to vote these shares.</w:t>
            </w:r>
          </w:p>
        </w:tc>
        <w:tc>
          <w:tcPr>
            <w:tcW w:w="0" w:type="dxa"/>
            <w:vAlign w:val="bottom"/>
          </w:tcPr>
          <w:p>
            <w:pPr>
              <w:spacing w:after="0"/>
              <w:rPr>
                <w:sz w:val="1"/>
                <w:szCs w:val="1"/>
                <w:color w:val="auto"/>
              </w:rPr>
            </w:pPr>
          </w:p>
        </w:tc>
      </w:tr>
      <w:tr>
        <w:trPr>
          <w:trHeight w:val="108"/>
        </w:trPr>
        <w:tc>
          <w:tcPr>
            <w:tcW w:w="28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800" w:type="dxa"/>
            <w:vAlign w:val="bottom"/>
            <w:tcBorders>
              <w:bottom w:val="single" w:sz="8" w:color="auto"/>
              <w:right w:val="single" w:sz="8" w:color="auto"/>
            </w:tcBorders>
          </w:tcPr>
          <w:p>
            <w:pPr>
              <w:spacing w:after="0"/>
              <w:rPr>
                <w:sz w:val="9"/>
                <w:szCs w:val="9"/>
                <w:color w:val="auto"/>
              </w:rPr>
            </w:pPr>
          </w:p>
        </w:tc>
        <w:tc>
          <w:tcPr>
            <w:tcW w:w="75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80" w:type="dxa"/>
            <w:vAlign w:val="bottom"/>
            <w:tcBorders>
              <w:left w:val="single" w:sz="8" w:color="auto"/>
            </w:tcBorders>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75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vMerge w:val="continue"/>
          </w:tcPr>
          <w:p>
            <w:pPr>
              <w:spacing w:after="0"/>
              <w:rPr>
                <w:sz w:val="15"/>
                <w:szCs w:val="15"/>
                <w:color w:val="auto"/>
              </w:rPr>
            </w:pPr>
          </w:p>
        </w:tc>
        <w:tc>
          <w:tcPr>
            <w:tcW w:w="7540" w:type="dxa"/>
            <w:vAlign w:val="bottom"/>
            <w:vMerge w:val="continue"/>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7"/>
              </w:rPr>
              <w:t>OWNED BY</w:t>
            </w:r>
          </w:p>
        </w:tc>
        <w:tc>
          <w:tcPr>
            <w:tcW w:w="800" w:type="dxa"/>
            <w:vAlign w:val="bottom"/>
            <w:tcBorders>
              <w:bottom w:val="single" w:sz="8" w:color="auto"/>
              <w:right w:val="single" w:sz="8" w:color="auto"/>
            </w:tcBorders>
          </w:tcPr>
          <w:p>
            <w:pPr>
              <w:spacing w:after="0"/>
              <w:rPr>
                <w:sz w:val="23"/>
                <w:szCs w:val="23"/>
                <w:color w:val="auto"/>
              </w:rPr>
            </w:pPr>
          </w:p>
        </w:tc>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See response to row 7.</w:t>
            </w:r>
          </w:p>
        </w:tc>
        <w:tc>
          <w:tcPr>
            <w:tcW w:w="14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95"/>
              </w:rPr>
              <w:t>EACH</w:t>
            </w: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754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3"/>
              </w:rPr>
              <w:t>REPORTING</w:t>
            </w:r>
          </w:p>
        </w:tc>
        <w:tc>
          <w:tcPr>
            <w:tcW w:w="800" w:type="dxa"/>
            <w:vAlign w:val="bottom"/>
            <w:tcBorders>
              <w:right w:val="single" w:sz="8" w:color="auto"/>
            </w:tcBorders>
            <w:vMerge w:val="continue"/>
          </w:tcPr>
          <w:p>
            <w:pPr>
              <w:spacing w:after="0"/>
              <w:rPr>
                <w:sz w:val="5"/>
                <w:szCs w:val="5"/>
                <w:color w:val="auto"/>
              </w:rPr>
            </w:pPr>
          </w:p>
        </w:tc>
        <w:tc>
          <w:tcPr>
            <w:tcW w:w="75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1360" w:type="dxa"/>
            <w:vAlign w:val="bottom"/>
            <w:tcBorders>
              <w:right w:val="single" w:sz="8" w:color="auto"/>
            </w:tcBorders>
            <w:gridSpan w:val="2"/>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9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2"/>
              </w:rPr>
              <w:t>574,972 shares, except that SM VIII, the general partner of SVP VIII, may be deemed to have sole dispositive power and</w:t>
            </w: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9"/>
              </w:rPr>
              <w:t>PERSON</w:t>
            </w:r>
          </w:p>
        </w:tc>
        <w:tc>
          <w:tcPr>
            <w:tcW w:w="80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1360" w:type="dxa"/>
            <w:vAlign w:val="bottom"/>
            <w:tcBorders>
              <w:right w:val="single" w:sz="8" w:color="auto"/>
            </w:tcBorders>
            <w:gridSpan w:val="2"/>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9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2"/>
              </w:rPr>
              <w:t>Powell, Healy, and Mehra, the managing members of SM VIII, may be deemed to have shared power to dispose of these</w:t>
            </w: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80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1360" w:type="dxa"/>
            <w:vAlign w:val="bottom"/>
            <w:tcBorders>
              <w:right w:val="single" w:sz="8" w:color="auto"/>
            </w:tcBorders>
            <w:gridSpan w:val="2"/>
            <w:vMerge w:val="continue"/>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540" w:type="dxa"/>
            <w:vAlign w:val="bottom"/>
            <w:vMerge w:val="restart"/>
          </w:tcPr>
          <w:p>
            <w:pPr>
              <w:ind w:left="40"/>
              <w:spacing w:after="0"/>
              <w:rPr>
                <w:sz w:val="20"/>
                <w:szCs w:val="20"/>
                <w:color w:val="auto"/>
              </w:rPr>
            </w:pPr>
            <w:r>
              <w:rPr>
                <w:rFonts w:ascii="Arial" w:cs="Arial" w:eastAsia="Arial" w:hAnsi="Arial"/>
                <w:sz w:val="18"/>
                <w:szCs w:val="18"/>
                <w:color w:val="auto"/>
              </w:rPr>
              <w:t>shares.</w:t>
            </w: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75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75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540" w:type="dxa"/>
            <w:vAlign w:val="bottom"/>
          </w:tcPr>
          <w:p>
            <w:pPr>
              <w:ind w:left="40"/>
              <w:spacing w:after="0"/>
              <w:rPr>
                <w:sz w:val="20"/>
                <w:szCs w:val="20"/>
                <w:color w:val="auto"/>
              </w:rPr>
            </w:pPr>
            <w:r>
              <w:rPr>
                <w:rFonts w:ascii="Arial" w:cs="Arial" w:eastAsia="Arial" w:hAnsi="Arial"/>
                <w:sz w:val="18"/>
                <w:szCs w:val="18"/>
                <w:color w:val="auto"/>
              </w:rPr>
              <w:t>See response to row 9.</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2"/>
                <w:szCs w:val="22"/>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574,972</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14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2"/>
                <w:szCs w:val="22"/>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4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4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14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2"/>
                <w:szCs w:val="22"/>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14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2"/>
                <w:szCs w:val="22"/>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1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6"/>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8"/>
                <w:szCs w:val="18"/>
                <w:color w:val="auto"/>
              </w:rPr>
              <w:t>CUSIP NO. 87166L100</w:t>
            </w:r>
          </w:p>
        </w:tc>
        <w:tc>
          <w:tcPr>
            <w:tcW w:w="7540" w:type="dxa"/>
            <w:vAlign w:val="bottom"/>
          </w:tcPr>
          <w:p>
            <w:pPr>
              <w:ind w:left="3120"/>
              <w:spacing w:after="0"/>
              <w:rPr>
                <w:sz w:val="20"/>
                <w:szCs w:val="20"/>
                <w:color w:val="auto"/>
              </w:rPr>
            </w:pPr>
            <w:r>
              <w:rPr>
                <w:rFonts w:ascii="Arial" w:cs="Arial" w:eastAsia="Arial" w:hAnsi="Arial"/>
                <w:sz w:val="18"/>
                <w:szCs w:val="18"/>
                <w:color w:val="auto"/>
              </w:rPr>
              <w:t>13D</w:t>
            </w:r>
          </w:p>
        </w:tc>
        <w:tc>
          <w:tcPr>
            <w:tcW w:w="1440" w:type="dxa"/>
            <w:vAlign w:val="bottom"/>
          </w:tcPr>
          <w:p>
            <w:pPr>
              <w:jc w:val="right"/>
              <w:spacing w:after="0"/>
              <w:rPr>
                <w:sz w:val="20"/>
                <w:szCs w:val="20"/>
                <w:color w:val="auto"/>
              </w:rPr>
            </w:pPr>
            <w:r>
              <w:rPr>
                <w:rFonts w:ascii="Arial" w:cs="Arial" w:eastAsia="Arial" w:hAnsi="Arial"/>
                <w:sz w:val="18"/>
                <w:szCs w:val="18"/>
                <w:color w:val="auto"/>
              </w:rPr>
              <w:t>Page 3 of 14</w:t>
            </w:r>
          </w:p>
        </w:tc>
        <w:tc>
          <w:tcPr>
            <w:tcW w:w="0" w:type="dxa"/>
            <w:vAlign w:val="bottom"/>
          </w:tcPr>
          <w:p>
            <w:pPr>
              <w:spacing w:after="0"/>
              <w:rPr>
                <w:sz w:val="1"/>
                <w:szCs w:val="1"/>
                <w:color w:val="auto"/>
              </w:rPr>
            </w:pPr>
          </w:p>
        </w:tc>
      </w:tr>
      <w:tr>
        <w:trPr>
          <w:trHeight w:val="459"/>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60" w:type="dxa"/>
            <w:vAlign w:val="bottom"/>
            <w:tcBorders>
              <w:right w:val="single" w:sz="8" w:color="auto"/>
            </w:tcBorders>
          </w:tcPr>
          <w:p>
            <w:pPr>
              <w:spacing w:after="0"/>
              <w:rPr>
                <w:sz w:val="21"/>
                <w:szCs w:val="21"/>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1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340" w:type="dxa"/>
            <w:vAlign w:val="bottom"/>
            <w:gridSpan w:val="2"/>
          </w:tcPr>
          <w:p>
            <w:pPr>
              <w:ind w:left="220"/>
              <w:spacing w:after="0"/>
              <w:rPr>
                <w:sz w:val="20"/>
                <w:szCs w:val="20"/>
                <w:color w:val="auto"/>
              </w:rPr>
            </w:pPr>
            <w:r>
              <w:rPr>
                <w:rFonts w:ascii="Arial" w:cs="Arial" w:eastAsia="Arial" w:hAnsi="Arial"/>
                <w:sz w:val="18"/>
                <w:szCs w:val="18"/>
                <w:color w:val="auto"/>
              </w:rPr>
              <w:t>Sofinnova Management VIII, L.L.C. (“SM VIII”)</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560" w:type="dxa"/>
            <w:vAlign w:val="bottom"/>
            <w:tcBorders>
              <w:right w:val="single" w:sz="8" w:color="auto"/>
            </w:tcBorders>
          </w:tcPr>
          <w:p>
            <w:pPr>
              <w:spacing w:after="0"/>
              <w:rPr>
                <w:sz w:val="22"/>
                <w:szCs w:val="22"/>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4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4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7540" w:type="dxa"/>
            <w:vAlign w:val="bottom"/>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560" w:type="dxa"/>
            <w:vAlign w:val="bottom"/>
            <w:tcBorders>
              <w:right w:val="single" w:sz="8" w:color="auto"/>
            </w:tcBorders>
          </w:tcPr>
          <w:p>
            <w:pPr>
              <w:spacing w:after="0"/>
              <w:rPr>
                <w:sz w:val="21"/>
                <w:szCs w:val="21"/>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SOURCE OF FUNDS</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AF</w:t>
            </w:r>
          </w:p>
        </w:tc>
        <w:tc>
          <w:tcPr>
            <w:tcW w:w="754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560" w:type="dxa"/>
            <w:vAlign w:val="bottom"/>
            <w:tcBorders>
              <w:right w:val="single" w:sz="8" w:color="auto"/>
            </w:tcBorders>
          </w:tcPr>
          <w:p>
            <w:pPr>
              <w:spacing w:after="0"/>
              <w:rPr>
                <w:sz w:val="24"/>
                <w:szCs w:val="24"/>
                <w:color w:val="auto"/>
              </w:rPr>
            </w:pPr>
          </w:p>
        </w:tc>
        <w:tc>
          <w:tcPr>
            <w:tcW w:w="9140" w:type="dxa"/>
            <w:vAlign w:val="bottom"/>
            <w:gridSpan w:val="3"/>
          </w:tcPr>
          <w:p>
            <w:pPr>
              <w:ind w:left="4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 2(d) or 2(e) </w:t>
            </w:r>
            <w:r>
              <w:rPr>
                <w:rFonts w:ascii="MS PGothic" w:cs="MS PGothic" w:eastAsia="MS PGothic" w:hAnsi="MS PGothic"/>
                <w:sz w:val="18"/>
                <w:szCs w:val="18"/>
                <w:color w:val="auto"/>
              </w:rPr>
              <w:t>☐</w:t>
            </w: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54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560" w:type="dxa"/>
            <w:vAlign w:val="bottom"/>
            <w:tcBorders>
              <w:right w:val="single" w:sz="8" w:color="auto"/>
            </w:tcBorders>
          </w:tcPr>
          <w:p>
            <w:pPr>
              <w:spacing w:after="0"/>
              <w:rPr>
                <w:sz w:val="21"/>
                <w:szCs w:val="21"/>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w w:val="94"/>
              </w:rPr>
              <w:t>Delaware</w:t>
            </w:r>
          </w:p>
        </w:tc>
        <w:tc>
          <w:tcPr>
            <w:tcW w:w="80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75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5"/>
              </w:rPr>
              <w:t>574,972 shares, all of which are owned directly by SVP VIII. SM VIII, the general partner of SVP VIII, may be deemed</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to have sole voting power, and Powell, Healy, and Mehra, the managing members of SM VIII, may be deemed to have</w:t>
            </w:r>
          </w:p>
        </w:tc>
        <w:tc>
          <w:tcPr>
            <w:tcW w:w="0" w:type="dxa"/>
            <w:vAlign w:val="bottom"/>
          </w:tcPr>
          <w:p>
            <w:pPr>
              <w:spacing w:after="0"/>
              <w:rPr>
                <w:sz w:val="1"/>
                <w:szCs w:val="1"/>
                <w:color w:val="auto"/>
              </w:rPr>
            </w:pPr>
          </w:p>
        </w:tc>
      </w:tr>
      <w:tr>
        <w:trPr>
          <w:trHeight w:val="176"/>
        </w:trPr>
        <w:tc>
          <w:tcPr>
            <w:tcW w:w="28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540" w:type="dxa"/>
            <w:vAlign w:val="bottom"/>
          </w:tcPr>
          <w:p>
            <w:pPr>
              <w:ind w:left="40"/>
              <w:spacing w:after="0" w:line="176" w:lineRule="exact"/>
              <w:rPr>
                <w:sz w:val="20"/>
                <w:szCs w:val="20"/>
                <w:color w:val="auto"/>
              </w:rPr>
            </w:pPr>
            <w:r>
              <w:rPr>
                <w:rFonts w:ascii="Arial" w:cs="Arial" w:eastAsia="Arial" w:hAnsi="Arial"/>
                <w:sz w:val="18"/>
                <w:szCs w:val="18"/>
                <w:color w:val="auto"/>
              </w:rPr>
              <w:t>shared power to vote these shares.</w:t>
            </w:r>
          </w:p>
        </w:tc>
        <w:tc>
          <w:tcPr>
            <w:tcW w:w="1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8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800" w:type="dxa"/>
            <w:vAlign w:val="bottom"/>
            <w:tcBorders>
              <w:bottom w:val="single" w:sz="8" w:color="auto"/>
              <w:right w:val="single" w:sz="8" w:color="auto"/>
            </w:tcBorders>
          </w:tcPr>
          <w:p>
            <w:pPr>
              <w:spacing w:after="0"/>
              <w:rPr>
                <w:sz w:val="9"/>
                <w:szCs w:val="9"/>
                <w:color w:val="auto"/>
              </w:rPr>
            </w:pPr>
          </w:p>
        </w:tc>
        <w:tc>
          <w:tcPr>
            <w:tcW w:w="7540" w:type="dxa"/>
            <w:vAlign w:val="bottom"/>
            <w:tcBorders>
              <w:bottom w:val="single" w:sz="8" w:color="auto"/>
            </w:tcBorders>
          </w:tcPr>
          <w:p>
            <w:pPr>
              <w:spacing w:after="0"/>
              <w:rPr>
                <w:sz w:val="9"/>
                <w:szCs w:val="9"/>
                <w:color w:val="auto"/>
              </w:rPr>
            </w:pPr>
          </w:p>
        </w:tc>
        <w:tc>
          <w:tcPr>
            <w:tcW w:w="1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80" w:type="dxa"/>
            <w:vAlign w:val="bottom"/>
            <w:tcBorders>
              <w:left w:val="single" w:sz="8" w:color="auto"/>
            </w:tcBorders>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754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164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vMerge w:val="continue"/>
          </w:tcPr>
          <w:p>
            <w:pPr>
              <w:spacing w:after="0"/>
              <w:rPr>
                <w:sz w:val="15"/>
                <w:szCs w:val="15"/>
                <w:color w:val="auto"/>
              </w:rPr>
            </w:pPr>
          </w:p>
        </w:tc>
        <w:tc>
          <w:tcPr>
            <w:tcW w:w="7540" w:type="dxa"/>
            <w:vAlign w:val="bottom"/>
            <w:vMerge w:val="continue"/>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7"/>
              </w:rPr>
              <w:t>OWNED BY</w:t>
            </w:r>
          </w:p>
        </w:tc>
        <w:tc>
          <w:tcPr>
            <w:tcW w:w="800" w:type="dxa"/>
            <w:vAlign w:val="bottom"/>
            <w:tcBorders>
              <w:bottom w:val="single" w:sz="8" w:color="auto"/>
              <w:right w:val="single" w:sz="8" w:color="auto"/>
            </w:tcBorders>
          </w:tcPr>
          <w:p>
            <w:pPr>
              <w:spacing w:after="0"/>
              <w:rPr>
                <w:sz w:val="23"/>
                <w:szCs w:val="23"/>
                <w:color w:val="auto"/>
              </w:rPr>
            </w:pPr>
          </w:p>
        </w:tc>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See response to row 7.</w:t>
            </w:r>
          </w:p>
        </w:tc>
        <w:tc>
          <w:tcPr>
            <w:tcW w:w="14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95"/>
              </w:rPr>
              <w:t>EACH</w:t>
            </w: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754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4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3"/>
              </w:rPr>
              <w:t>REPORTING</w:t>
            </w:r>
          </w:p>
        </w:tc>
        <w:tc>
          <w:tcPr>
            <w:tcW w:w="800" w:type="dxa"/>
            <w:vAlign w:val="bottom"/>
            <w:tcBorders>
              <w:right w:val="single" w:sz="8" w:color="auto"/>
            </w:tcBorders>
            <w:vMerge w:val="continue"/>
          </w:tcPr>
          <w:p>
            <w:pPr>
              <w:spacing w:after="0"/>
              <w:rPr>
                <w:sz w:val="5"/>
                <w:szCs w:val="5"/>
                <w:color w:val="auto"/>
              </w:rPr>
            </w:pPr>
          </w:p>
        </w:tc>
        <w:tc>
          <w:tcPr>
            <w:tcW w:w="75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1360" w:type="dxa"/>
            <w:vAlign w:val="bottom"/>
            <w:tcBorders>
              <w:right w:val="single" w:sz="8" w:color="auto"/>
            </w:tcBorders>
            <w:gridSpan w:val="2"/>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9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5"/>
              </w:rPr>
              <w:t>574,972 shares, all of which are owned directly by SVP VIII. SM VIII, the general partner of SVP VIII, may be deemed</w:t>
            </w: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9"/>
              </w:rPr>
              <w:t>PERSON</w:t>
            </w:r>
          </w:p>
        </w:tc>
        <w:tc>
          <w:tcPr>
            <w:tcW w:w="80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1360" w:type="dxa"/>
            <w:vAlign w:val="bottom"/>
            <w:tcBorders>
              <w:right w:val="single" w:sz="8" w:color="auto"/>
            </w:tcBorders>
            <w:gridSpan w:val="2"/>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9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w w:val="91"/>
              </w:rPr>
              <w:t>to have sole dispositive power, and Powell, Healy, and Mehra, the managing members of SM VIII, may be deemed to have</w:t>
            </w: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800" w:type="dxa"/>
            <w:vAlign w:val="bottom"/>
            <w:tcBorders>
              <w:right w:val="single" w:sz="8" w:color="auto"/>
            </w:tcBorders>
          </w:tcPr>
          <w:p>
            <w:pPr>
              <w:spacing w:after="0"/>
              <w:rPr>
                <w:sz w:val="5"/>
                <w:szCs w:val="5"/>
                <w:color w:val="auto"/>
              </w:rPr>
            </w:pPr>
          </w:p>
        </w:tc>
        <w:tc>
          <w:tcPr>
            <w:tcW w:w="898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Borders>
              <w:left w:val="single" w:sz="8" w:color="auto"/>
            </w:tcBorders>
          </w:tcPr>
          <w:p>
            <w:pPr>
              <w:spacing w:after="0"/>
              <w:rPr>
                <w:sz w:val="14"/>
                <w:szCs w:val="14"/>
                <w:color w:val="auto"/>
              </w:rPr>
            </w:pPr>
          </w:p>
        </w:tc>
        <w:tc>
          <w:tcPr>
            <w:tcW w:w="1360" w:type="dxa"/>
            <w:vAlign w:val="bottom"/>
            <w:tcBorders>
              <w:right w:val="single" w:sz="8" w:color="auto"/>
            </w:tcBorders>
            <w:gridSpan w:val="2"/>
            <w:vMerge w:val="continue"/>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5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 over these shares.</w:t>
            </w:r>
          </w:p>
        </w:tc>
        <w:tc>
          <w:tcPr>
            <w:tcW w:w="1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7540" w:type="dxa"/>
            <w:vAlign w:val="bottom"/>
            <w:vMerge w:val="continue"/>
          </w:tcPr>
          <w:p>
            <w:pPr>
              <w:spacing w:after="0"/>
              <w:rPr>
                <w:sz w:val="5"/>
                <w:szCs w:val="5"/>
                <w:color w:val="auto"/>
              </w:rPr>
            </w:pPr>
          </w:p>
        </w:tc>
        <w:tc>
          <w:tcPr>
            <w:tcW w:w="14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754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7540" w:type="dxa"/>
            <w:vAlign w:val="bottom"/>
          </w:tcPr>
          <w:p>
            <w:pPr>
              <w:ind w:left="40"/>
              <w:spacing w:after="0"/>
              <w:rPr>
                <w:sz w:val="20"/>
                <w:szCs w:val="20"/>
                <w:color w:val="auto"/>
              </w:rPr>
            </w:pPr>
            <w:r>
              <w:rPr>
                <w:rFonts w:ascii="Arial" w:cs="Arial" w:eastAsia="Arial" w:hAnsi="Arial"/>
                <w:sz w:val="18"/>
                <w:szCs w:val="18"/>
                <w:color w:val="auto"/>
              </w:rPr>
              <w:t>See response to row 9.</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2"/>
                <w:szCs w:val="22"/>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574,972</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14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2"/>
                <w:szCs w:val="22"/>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4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14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914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2"/>
                <w:szCs w:val="22"/>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1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140" w:type="dxa"/>
            <w:vAlign w:val="bottom"/>
            <w:tcBorders>
              <w:bottom w:val="single" w:sz="8" w:color="auto"/>
            </w:tcBorders>
            <w:gridSpan w:val="3"/>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2"/>
                <w:szCs w:val="22"/>
                <w:color w:val="auto"/>
              </w:rPr>
            </w:pPr>
          </w:p>
        </w:tc>
        <w:tc>
          <w:tcPr>
            <w:tcW w:w="914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1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4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6"/>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8"/>
                <w:szCs w:val="18"/>
                <w:color w:val="auto"/>
              </w:rPr>
              <w:t>CUSIP NO. 87166L100</w:t>
            </w:r>
          </w:p>
        </w:tc>
        <w:tc>
          <w:tcPr>
            <w:tcW w:w="6940" w:type="dxa"/>
            <w:vAlign w:val="bottom"/>
          </w:tcPr>
          <w:p>
            <w:pPr>
              <w:ind w:left="3120"/>
              <w:spacing w:after="0"/>
              <w:rPr>
                <w:sz w:val="20"/>
                <w:szCs w:val="20"/>
                <w:color w:val="auto"/>
              </w:rPr>
            </w:pPr>
            <w:r>
              <w:rPr>
                <w:rFonts w:ascii="Arial" w:cs="Arial" w:eastAsia="Arial" w:hAnsi="Arial"/>
                <w:sz w:val="18"/>
                <w:szCs w:val="18"/>
                <w:color w:val="auto"/>
              </w:rPr>
              <w:t>13D</w:t>
            </w:r>
          </w:p>
        </w:tc>
        <w:tc>
          <w:tcPr>
            <w:tcW w:w="2040" w:type="dxa"/>
            <w:vAlign w:val="bottom"/>
          </w:tcPr>
          <w:p>
            <w:pPr>
              <w:jc w:val="right"/>
              <w:spacing w:after="0"/>
              <w:rPr>
                <w:sz w:val="20"/>
                <w:szCs w:val="20"/>
                <w:color w:val="auto"/>
              </w:rPr>
            </w:pPr>
            <w:r>
              <w:rPr>
                <w:rFonts w:ascii="Arial" w:cs="Arial" w:eastAsia="Arial" w:hAnsi="Arial"/>
                <w:sz w:val="18"/>
                <w:szCs w:val="18"/>
                <w:color w:val="auto"/>
              </w:rPr>
              <w:t>Page 4 of 14</w:t>
            </w:r>
          </w:p>
        </w:tc>
        <w:tc>
          <w:tcPr>
            <w:tcW w:w="0" w:type="dxa"/>
            <w:vAlign w:val="bottom"/>
          </w:tcPr>
          <w:p>
            <w:pPr>
              <w:spacing w:after="0"/>
              <w:rPr>
                <w:sz w:val="1"/>
                <w:szCs w:val="1"/>
                <w:color w:val="auto"/>
              </w:rPr>
            </w:pPr>
          </w:p>
        </w:tc>
      </w:tr>
      <w:tr>
        <w:trPr>
          <w:trHeight w:val="459"/>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60" w:type="dxa"/>
            <w:vAlign w:val="bottom"/>
            <w:tcBorders>
              <w:right w:val="single" w:sz="8" w:color="auto"/>
            </w:tcBorders>
          </w:tcPr>
          <w:p>
            <w:pPr>
              <w:spacing w:after="0"/>
              <w:rPr>
                <w:sz w:val="21"/>
                <w:szCs w:val="21"/>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7740" w:type="dxa"/>
            <w:vAlign w:val="bottom"/>
            <w:gridSpan w:val="2"/>
          </w:tcPr>
          <w:p>
            <w:pPr>
              <w:ind w:left="220"/>
              <w:spacing w:after="0"/>
              <w:rPr>
                <w:sz w:val="20"/>
                <w:szCs w:val="20"/>
                <w:color w:val="auto"/>
              </w:rPr>
            </w:pPr>
            <w:r>
              <w:rPr>
                <w:rFonts w:ascii="Arial" w:cs="Arial" w:eastAsia="Arial" w:hAnsi="Arial"/>
                <w:sz w:val="18"/>
                <w:szCs w:val="18"/>
                <w:color w:val="auto"/>
              </w:rPr>
              <w:t>Dr. Michael F. Powell (“Powell”)</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94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560" w:type="dxa"/>
            <w:vAlign w:val="bottom"/>
            <w:tcBorders>
              <w:right w:val="single" w:sz="8" w:color="auto"/>
            </w:tcBorders>
          </w:tcPr>
          <w:p>
            <w:pPr>
              <w:spacing w:after="0"/>
              <w:rPr>
                <w:sz w:val="21"/>
                <w:szCs w:val="21"/>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SOURCE OF FUNDS</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AF</w:t>
            </w:r>
          </w:p>
        </w:tc>
        <w:tc>
          <w:tcPr>
            <w:tcW w:w="69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560" w:type="dxa"/>
            <w:vAlign w:val="bottom"/>
            <w:tcBorders>
              <w:right w:val="single" w:sz="8" w:color="auto"/>
            </w:tcBorders>
          </w:tcPr>
          <w:p>
            <w:pPr>
              <w:spacing w:after="0"/>
              <w:rPr>
                <w:sz w:val="24"/>
                <w:szCs w:val="24"/>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2040" w:type="dxa"/>
            <w:vAlign w:val="bottom"/>
            <w:tcBorders>
              <w:right w:val="single" w:sz="8" w:color="auto"/>
            </w:tcBorders>
          </w:tcPr>
          <w:p>
            <w:pPr>
              <w:jc w:val="right"/>
              <w:ind w:right="16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560" w:type="dxa"/>
            <w:vAlign w:val="bottom"/>
            <w:tcBorders>
              <w:right w:val="single" w:sz="8" w:color="auto"/>
            </w:tcBorders>
          </w:tcPr>
          <w:p>
            <w:pPr>
              <w:spacing w:after="0"/>
              <w:rPr>
                <w:sz w:val="21"/>
                <w:szCs w:val="21"/>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U.S. Citizen</w:t>
            </w:r>
          </w:p>
        </w:tc>
        <w:tc>
          <w:tcPr>
            <w:tcW w:w="69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69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spacing w:after="0"/>
              <w:rPr>
                <w:sz w:val="22"/>
                <w:szCs w:val="22"/>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6"/>
              </w:rPr>
              <w:t>NUMBER OF</w:t>
            </w: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69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574,972 shares, all of which are owned directly by SVP VIII. SM VIII, the general partner of SVP VIII, may be deemed to</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have sole voting power, and Powell, a managing member of SM VIII, may be deemed to have shared voting power to vote</w:t>
            </w: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7"/>
              </w:rPr>
              <w:t>OWNED BY</w:t>
            </w:r>
          </w:p>
        </w:tc>
        <w:tc>
          <w:tcPr>
            <w:tcW w:w="800" w:type="dxa"/>
            <w:vAlign w:val="bottom"/>
            <w:tcBorders>
              <w:bottom w:val="single" w:sz="8" w:color="auto"/>
              <w:right w:val="single" w:sz="8" w:color="auto"/>
            </w:tcBorders>
          </w:tcPr>
          <w:p>
            <w:pPr>
              <w:spacing w:after="0"/>
              <w:rPr>
                <w:sz w:val="23"/>
                <w:szCs w:val="23"/>
                <w:color w:val="auto"/>
              </w:rPr>
            </w:pPr>
          </w:p>
        </w:tc>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these shares.</w:t>
            </w:r>
          </w:p>
        </w:tc>
        <w:tc>
          <w:tcPr>
            <w:tcW w:w="2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95"/>
              </w:rPr>
              <w:t>EACH</w:t>
            </w: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3"/>
              </w:rPr>
              <w:t>REPORTING</w:t>
            </w:r>
          </w:p>
        </w:tc>
        <w:tc>
          <w:tcPr>
            <w:tcW w:w="800" w:type="dxa"/>
            <w:vAlign w:val="bottom"/>
            <w:tcBorders>
              <w:right w:val="single" w:sz="8" w:color="auto"/>
            </w:tcBorders>
            <w:vMerge w:val="continue"/>
          </w:tcPr>
          <w:p>
            <w:pPr>
              <w:spacing w:after="0"/>
              <w:rPr>
                <w:sz w:val="5"/>
                <w:szCs w:val="5"/>
                <w:color w:val="auto"/>
              </w:rPr>
            </w:pPr>
          </w:p>
        </w:tc>
        <w:tc>
          <w:tcPr>
            <w:tcW w:w="6940" w:type="dxa"/>
            <w:vAlign w:val="bottom"/>
            <w:vMerge w:val="continue"/>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1360" w:type="dxa"/>
            <w:vAlign w:val="bottom"/>
            <w:tcBorders>
              <w:right w:val="single" w:sz="8" w:color="auto"/>
            </w:tcBorders>
            <w:gridSpan w:val="2"/>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80" w:type="dxa"/>
            <w:vAlign w:val="bottom"/>
            <w:tcBorders>
              <w:left w:val="single" w:sz="8" w:color="auto"/>
            </w:tcBorders>
          </w:tcPr>
          <w:p>
            <w:pPr>
              <w:spacing w:after="0"/>
              <w:rPr>
                <w:sz w:val="7"/>
                <w:szCs w:val="7"/>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9"/>
              </w:rPr>
              <w:t>PERSON</w:t>
            </w:r>
          </w:p>
        </w:tc>
        <w:tc>
          <w:tcPr>
            <w:tcW w:w="800" w:type="dxa"/>
            <w:vAlign w:val="bottom"/>
            <w:tcBorders>
              <w:right w:val="single" w:sz="8" w:color="auto"/>
            </w:tcBorders>
          </w:tcPr>
          <w:p>
            <w:pPr>
              <w:spacing w:after="0"/>
              <w:rPr>
                <w:sz w:val="7"/>
                <w:szCs w:val="7"/>
                <w:color w:val="auto"/>
              </w:rPr>
            </w:pPr>
          </w:p>
        </w:tc>
        <w:tc>
          <w:tcPr>
            <w:tcW w:w="6940" w:type="dxa"/>
            <w:vAlign w:val="bottom"/>
            <w:vMerge w:val="continue"/>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w:t>
            </w: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90"/>
              <w:spacing w:after="0" w:line="189" w:lineRule="exact"/>
              <w:rPr>
                <w:sz w:val="20"/>
                <w:szCs w:val="20"/>
                <w:color w:val="auto"/>
              </w:rPr>
            </w:pPr>
            <w:r>
              <w:rPr>
                <w:rFonts w:ascii="Arial" w:cs="Arial" w:eastAsia="Arial" w:hAnsi="Arial"/>
                <w:sz w:val="18"/>
                <w:szCs w:val="18"/>
                <w:color w:val="auto"/>
              </w:rPr>
              <w:t>WITH</w:t>
            </w:r>
          </w:p>
        </w:tc>
        <w:tc>
          <w:tcPr>
            <w:tcW w:w="800" w:type="dxa"/>
            <w:vAlign w:val="bottom"/>
            <w:tcBorders>
              <w:right w:val="single" w:sz="8" w:color="auto"/>
            </w:tcBorders>
            <w:vMerge w:val="continue"/>
          </w:tcPr>
          <w:p>
            <w:pPr>
              <w:spacing w:after="0"/>
              <w:rPr>
                <w:sz w:val="16"/>
                <w:szCs w:val="16"/>
                <w:color w:val="auto"/>
              </w:rPr>
            </w:pPr>
          </w:p>
        </w:tc>
        <w:tc>
          <w:tcPr>
            <w:tcW w:w="6940" w:type="dxa"/>
            <w:vAlign w:val="bottom"/>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574,972 shares, all of which are owned directly by SVP VIII. SM VIII, the general partner of SVP VIII, may be deemed to</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0"/>
              </w:rPr>
              <w:t>have sole dispositive power, and Powell, a managing member of SM VIII, may be deemed to have shared power to dispose</w:t>
            </w: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of these shares.</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574,972</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540" w:type="dxa"/>
            <w:vAlign w:val="bottom"/>
            <w:tcBorders>
              <w:bottom w:val="single" w:sz="8" w:color="auto"/>
            </w:tcBorders>
            <w:gridSpan w:val="3"/>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8"/>
                <w:szCs w:val="18"/>
                <w:color w:val="auto"/>
              </w:rPr>
              <w:t>CUSIP NO. 87166L100</w:t>
            </w:r>
          </w:p>
        </w:tc>
        <w:tc>
          <w:tcPr>
            <w:tcW w:w="6940" w:type="dxa"/>
            <w:vAlign w:val="bottom"/>
          </w:tcPr>
          <w:p>
            <w:pPr>
              <w:ind w:left="3120"/>
              <w:spacing w:after="0"/>
              <w:rPr>
                <w:sz w:val="20"/>
                <w:szCs w:val="20"/>
                <w:color w:val="auto"/>
              </w:rPr>
            </w:pPr>
            <w:r>
              <w:rPr>
                <w:rFonts w:ascii="Arial" w:cs="Arial" w:eastAsia="Arial" w:hAnsi="Arial"/>
                <w:sz w:val="18"/>
                <w:szCs w:val="18"/>
                <w:color w:val="auto"/>
              </w:rPr>
              <w:t>13D</w:t>
            </w:r>
          </w:p>
        </w:tc>
        <w:tc>
          <w:tcPr>
            <w:tcW w:w="2040" w:type="dxa"/>
            <w:vAlign w:val="bottom"/>
          </w:tcPr>
          <w:p>
            <w:pPr>
              <w:jc w:val="right"/>
              <w:spacing w:after="0"/>
              <w:rPr>
                <w:sz w:val="20"/>
                <w:szCs w:val="20"/>
                <w:color w:val="auto"/>
              </w:rPr>
            </w:pPr>
            <w:r>
              <w:rPr>
                <w:rFonts w:ascii="Arial" w:cs="Arial" w:eastAsia="Arial" w:hAnsi="Arial"/>
                <w:sz w:val="18"/>
                <w:szCs w:val="18"/>
                <w:color w:val="auto"/>
              </w:rPr>
              <w:t>Page 5 of 14</w:t>
            </w:r>
          </w:p>
        </w:tc>
        <w:tc>
          <w:tcPr>
            <w:tcW w:w="0" w:type="dxa"/>
            <w:vAlign w:val="bottom"/>
          </w:tcPr>
          <w:p>
            <w:pPr>
              <w:spacing w:after="0"/>
              <w:rPr>
                <w:sz w:val="1"/>
                <w:szCs w:val="1"/>
                <w:color w:val="auto"/>
              </w:rPr>
            </w:pPr>
          </w:p>
        </w:tc>
      </w:tr>
      <w:tr>
        <w:trPr>
          <w:trHeight w:val="459"/>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60" w:type="dxa"/>
            <w:vAlign w:val="bottom"/>
            <w:tcBorders>
              <w:right w:val="single" w:sz="8" w:color="auto"/>
            </w:tcBorders>
          </w:tcPr>
          <w:p>
            <w:pPr>
              <w:spacing w:after="0"/>
              <w:rPr>
                <w:sz w:val="21"/>
                <w:szCs w:val="21"/>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7740" w:type="dxa"/>
            <w:vAlign w:val="bottom"/>
            <w:gridSpan w:val="2"/>
          </w:tcPr>
          <w:p>
            <w:pPr>
              <w:ind w:left="220"/>
              <w:spacing w:after="0"/>
              <w:rPr>
                <w:sz w:val="20"/>
                <w:szCs w:val="20"/>
                <w:color w:val="auto"/>
              </w:rPr>
            </w:pPr>
            <w:r>
              <w:rPr>
                <w:rFonts w:ascii="Arial" w:cs="Arial" w:eastAsia="Arial" w:hAnsi="Arial"/>
                <w:sz w:val="18"/>
                <w:szCs w:val="18"/>
                <w:color w:val="auto"/>
              </w:rPr>
              <w:t>Dr. James I. Healy (“Healy”)</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94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560" w:type="dxa"/>
            <w:vAlign w:val="bottom"/>
            <w:tcBorders>
              <w:right w:val="single" w:sz="8" w:color="auto"/>
            </w:tcBorders>
          </w:tcPr>
          <w:p>
            <w:pPr>
              <w:spacing w:after="0"/>
              <w:rPr>
                <w:sz w:val="21"/>
                <w:szCs w:val="21"/>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SOURCE OF FUNDS</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AF</w:t>
            </w:r>
          </w:p>
        </w:tc>
        <w:tc>
          <w:tcPr>
            <w:tcW w:w="69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560" w:type="dxa"/>
            <w:vAlign w:val="bottom"/>
            <w:tcBorders>
              <w:right w:val="single" w:sz="8" w:color="auto"/>
            </w:tcBorders>
          </w:tcPr>
          <w:p>
            <w:pPr>
              <w:spacing w:after="0"/>
              <w:rPr>
                <w:sz w:val="24"/>
                <w:szCs w:val="24"/>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2040" w:type="dxa"/>
            <w:vAlign w:val="bottom"/>
            <w:tcBorders>
              <w:right w:val="single" w:sz="8" w:color="auto"/>
            </w:tcBorders>
          </w:tcPr>
          <w:p>
            <w:pPr>
              <w:jc w:val="right"/>
              <w:ind w:right="16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560" w:type="dxa"/>
            <w:vAlign w:val="bottom"/>
            <w:tcBorders>
              <w:right w:val="single" w:sz="8" w:color="auto"/>
            </w:tcBorders>
          </w:tcPr>
          <w:p>
            <w:pPr>
              <w:spacing w:after="0"/>
              <w:rPr>
                <w:sz w:val="21"/>
                <w:szCs w:val="21"/>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U.S. Citizen</w:t>
            </w:r>
          </w:p>
        </w:tc>
        <w:tc>
          <w:tcPr>
            <w:tcW w:w="69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69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spacing w:after="0"/>
              <w:rPr>
                <w:sz w:val="22"/>
                <w:szCs w:val="22"/>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6"/>
              </w:rPr>
              <w:t>NUMBER OF</w:t>
            </w: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69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574,972 shares, all of which are owned directly by SVP VIII. SM VIII, the general partner of SVP VIII, may be deemed to</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2"/>
              </w:rPr>
              <w:t>have sole voting power, and Healy, a managing member of SM VIII, may be deemed to have shared voting power to vote</w:t>
            </w: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7"/>
              </w:rPr>
              <w:t>OWNED BY</w:t>
            </w:r>
          </w:p>
        </w:tc>
        <w:tc>
          <w:tcPr>
            <w:tcW w:w="800" w:type="dxa"/>
            <w:vAlign w:val="bottom"/>
            <w:tcBorders>
              <w:bottom w:val="single" w:sz="8" w:color="auto"/>
              <w:right w:val="single" w:sz="8" w:color="auto"/>
            </w:tcBorders>
          </w:tcPr>
          <w:p>
            <w:pPr>
              <w:spacing w:after="0"/>
              <w:rPr>
                <w:sz w:val="23"/>
                <w:szCs w:val="23"/>
                <w:color w:val="auto"/>
              </w:rPr>
            </w:pPr>
          </w:p>
        </w:tc>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these shares.</w:t>
            </w:r>
          </w:p>
        </w:tc>
        <w:tc>
          <w:tcPr>
            <w:tcW w:w="2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95"/>
              </w:rPr>
              <w:t>EACH</w:t>
            </w: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3"/>
              </w:rPr>
              <w:t>REPORTING</w:t>
            </w:r>
          </w:p>
        </w:tc>
        <w:tc>
          <w:tcPr>
            <w:tcW w:w="800" w:type="dxa"/>
            <w:vAlign w:val="bottom"/>
            <w:tcBorders>
              <w:right w:val="single" w:sz="8" w:color="auto"/>
            </w:tcBorders>
            <w:vMerge w:val="continue"/>
          </w:tcPr>
          <w:p>
            <w:pPr>
              <w:spacing w:after="0"/>
              <w:rPr>
                <w:sz w:val="5"/>
                <w:szCs w:val="5"/>
                <w:color w:val="auto"/>
              </w:rPr>
            </w:pPr>
          </w:p>
        </w:tc>
        <w:tc>
          <w:tcPr>
            <w:tcW w:w="6940" w:type="dxa"/>
            <w:vAlign w:val="bottom"/>
            <w:vMerge w:val="continue"/>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1360" w:type="dxa"/>
            <w:vAlign w:val="bottom"/>
            <w:tcBorders>
              <w:right w:val="single" w:sz="8" w:color="auto"/>
            </w:tcBorders>
            <w:gridSpan w:val="2"/>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80" w:type="dxa"/>
            <w:vAlign w:val="bottom"/>
            <w:tcBorders>
              <w:left w:val="single" w:sz="8" w:color="auto"/>
            </w:tcBorders>
          </w:tcPr>
          <w:p>
            <w:pPr>
              <w:spacing w:after="0"/>
              <w:rPr>
                <w:sz w:val="7"/>
                <w:szCs w:val="7"/>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9"/>
              </w:rPr>
              <w:t>PERSON</w:t>
            </w:r>
          </w:p>
        </w:tc>
        <w:tc>
          <w:tcPr>
            <w:tcW w:w="800" w:type="dxa"/>
            <w:vAlign w:val="bottom"/>
            <w:tcBorders>
              <w:right w:val="single" w:sz="8" w:color="auto"/>
            </w:tcBorders>
          </w:tcPr>
          <w:p>
            <w:pPr>
              <w:spacing w:after="0"/>
              <w:rPr>
                <w:sz w:val="7"/>
                <w:szCs w:val="7"/>
                <w:color w:val="auto"/>
              </w:rPr>
            </w:pPr>
          </w:p>
        </w:tc>
        <w:tc>
          <w:tcPr>
            <w:tcW w:w="6940" w:type="dxa"/>
            <w:vAlign w:val="bottom"/>
            <w:vMerge w:val="continue"/>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w:t>
            </w: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90"/>
              <w:spacing w:after="0" w:line="189" w:lineRule="exact"/>
              <w:rPr>
                <w:sz w:val="20"/>
                <w:szCs w:val="20"/>
                <w:color w:val="auto"/>
              </w:rPr>
            </w:pPr>
            <w:r>
              <w:rPr>
                <w:rFonts w:ascii="Arial" w:cs="Arial" w:eastAsia="Arial" w:hAnsi="Arial"/>
                <w:sz w:val="18"/>
                <w:szCs w:val="18"/>
                <w:color w:val="auto"/>
              </w:rPr>
              <w:t>WITH</w:t>
            </w:r>
          </w:p>
        </w:tc>
        <w:tc>
          <w:tcPr>
            <w:tcW w:w="800" w:type="dxa"/>
            <w:vAlign w:val="bottom"/>
            <w:tcBorders>
              <w:right w:val="single" w:sz="8" w:color="auto"/>
            </w:tcBorders>
            <w:vMerge w:val="continue"/>
          </w:tcPr>
          <w:p>
            <w:pPr>
              <w:spacing w:after="0"/>
              <w:rPr>
                <w:sz w:val="16"/>
                <w:szCs w:val="16"/>
                <w:color w:val="auto"/>
              </w:rPr>
            </w:pPr>
          </w:p>
        </w:tc>
        <w:tc>
          <w:tcPr>
            <w:tcW w:w="6940" w:type="dxa"/>
            <w:vAlign w:val="bottom"/>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574,972 shares, all of which are owned directly by SVP VIII. SM VIII, the general partner of SVP VIII, may be deemed to</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1"/>
              </w:rPr>
              <w:t>have sole dispositive power, and Healy, a managing member of SM VIII, may be deemed to have shared power to dispose</w:t>
            </w: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of these shares.</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574,972</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540" w:type="dxa"/>
            <w:vAlign w:val="bottom"/>
            <w:tcBorders>
              <w:bottom w:val="single" w:sz="8" w:color="auto"/>
            </w:tcBorders>
            <w:gridSpan w:val="3"/>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440" w:type="dxa"/>
            <w:vAlign w:val="bottom"/>
            <w:gridSpan w:val="4"/>
          </w:tcPr>
          <w:p>
            <w:pPr>
              <w:spacing w:after="0"/>
              <w:rPr>
                <w:sz w:val="20"/>
                <w:szCs w:val="20"/>
                <w:color w:val="auto"/>
              </w:rPr>
            </w:pPr>
            <w:r>
              <w:rPr>
                <w:rFonts w:ascii="Arial" w:cs="Arial" w:eastAsia="Arial" w:hAnsi="Arial"/>
                <w:sz w:val="18"/>
                <w:szCs w:val="18"/>
                <w:color w:val="auto"/>
              </w:rPr>
              <w:t>CUSIP NO. 87166L100</w:t>
            </w:r>
          </w:p>
        </w:tc>
        <w:tc>
          <w:tcPr>
            <w:tcW w:w="6940" w:type="dxa"/>
            <w:vAlign w:val="bottom"/>
          </w:tcPr>
          <w:p>
            <w:pPr>
              <w:ind w:left="3120"/>
              <w:spacing w:after="0"/>
              <w:rPr>
                <w:sz w:val="20"/>
                <w:szCs w:val="20"/>
                <w:color w:val="auto"/>
              </w:rPr>
            </w:pPr>
            <w:r>
              <w:rPr>
                <w:rFonts w:ascii="Arial" w:cs="Arial" w:eastAsia="Arial" w:hAnsi="Arial"/>
                <w:sz w:val="18"/>
                <w:szCs w:val="18"/>
                <w:color w:val="auto"/>
              </w:rPr>
              <w:t>13D</w:t>
            </w:r>
          </w:p>
        </w:tc>
        <w:tc>
          <w:tcPr>
            <w:tcW w:w="2040" w:type="dxa"/>
            <w:vAlign w:val="bottom"/>
          </w:tcPr>
          <w:p>
            <w:pPr>
              <w:jc w:val="right"/>
              <w:spacing w:after="0"/>
              <w:rPr>
                <w:sz w:val="20"/>
                <w:szCs w:val="20"/>
                <w:color w:val="auto"/>
              </w:rPr>
            </w:pPr>
            <w:r>
              <w:rPr>
                <w:rFonts w:ascii="Arial" w:cs="Arial" w:eastAsia="Arial" w:hAnsi="Arial"/>
                <w:sz w:val="18"/>
                <w:szCs w:val="18"/>
                <w:color w:val="auto"/>
              </w:rPr>
              <w:t>Page 6 of 14</w:t>
            </w:r>
          </w:p>
        </w:tc>
        <w:tc>
          <w:tcPr>
            <w:tcW w:w="0" w:type="dxa"/>
            <w:vAlign w:val="bottom"/>
          </w:tcPr>
          <w:p>
            <w:pPr>
              <w:spacing w:after="0"/>
              <w:rPr>
                <w:sz w:val="1"/>
                <w:szCs w:val="1"/>
                <w:color w:val="auto"/>
              </w:rPr>
            </w:pPr>
          </w:p>
        </w:tc>
      </w:tr>
      <w:tr>
        <w:trPr>
          <w:trHeight w:val="459"/>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1</w:t>
            </w:r>
          </w:p>
        </w:tc>
        <w:tc>
          <w:tcPr>
            <w:tcW w:w="560" w:type="dxa"/>
            <w:vAlign w:val="bottom"/>
            <w:tcBorders>
              <w:right w:val="single" w:sz="8" w:color="auto"/>
            </w:tcBorders>
          </w:tcPr>
          <w:p>
            <w:pPr>
              <w:spacing w:after="0"/>
              <w:rPr>
                <w:sz w:val="21"/>
                <w:szCs w:val="21"/>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NAME OF REPORTING PERSON</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I.R.S. IDENTIFICATION NO. OF ABOVE PERSONS (ENTITIES ONLY)</w:t>
            </w:r>
          </w:p>
        </w:tc>
        <w:tc>
          <w:tcPr>
            <w:tcW w:w="2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7740" w:type="dxa"/>
            <w:vAlign w:val="bottom"/>
            <w:gridSpan w:val="2"/>
          </w:tcPr>
          <w:p>
            <w:pPr>
              <w:ind w:left="220"/>
              <w:spacing w:after="0"/>
              <w:rPr>
                <w:sz w:val="20"/>
                <w:szCs w:val="20"/>
                <w:color w:val="auto"/>
              </w:rPr>
            </w:pPr>
            <w:r>
              <w:rPr>
                <w:rFonts w:ascii="Arial" w:cs="Arial" w:eastAsia="Arial" w:hAnsi="Arial"/>
                <w:sz w:val="18"/>
                <w:szCs w:val="18"/>
                <w:color w:val="auto"/>
              </w:rPr>
              <w:t>Dr. Anand Mehra (“Mehra”)</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2</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040" w:type="dxa"/>
            <w:vAlign w:val="bottom"/>
            <w:tcBorders>
              <w:right w:val="single" w:sz="8" w:color="auto"/>
            </w:tcBorders>
            <w:vMerge w:val="restart"/>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spacing w:after="0"/>
              <w:rPr>
                <w:sz w:val="22"/>
                <w:szCs w:val="22"/>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6940" w:type="dxa"/>
            <w:vAlign w:val="bottom"/>
          </w:tcPr>
          <w:p>
            <w:pPr>
              <w:spacing w:after="0"/>
              <w:rPr>
                <w:sz w:val="22"/>
                <w:szCs w:val="22"/>
                <w:color w:val="auto"/>
              </w:rPr>
            </w:pP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4</w:t>
            </w:r>
          </w:p>
        </w:tc>
        <w:tc>
          <w:tcPr>
            <w:tcW w:w="560" w:type="dxa"/>
            <w:vAlign w:val="bottom"/>
            <w:tcBorders>
              <w:right w:val="single" w:sz="8" w:color="auto"/>
            </w:tcBorders>
          </w:tcPr>
          <w:p>
            <w:pPr>
              <w:spacing w:after="0"/>
              <w:rPr>
                <w:sz w:val="21"/>
                <w:szCs w:val="21"/>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SOURCE OF FUNDS</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AF</w:t>
            </w:r>
          </w:p>
        </w:tc>
        <w:tc>
          <w:tcPr>
            <w:tcW w:w="69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5</w:t>
            </w:r>
          </w:p>
        </w:tc>
        <w:tc>
          <w:tcPr>
            <w:tcW w:w="560" w:type="dxa"/>
            <w:vAlign w:val="bottom"/>
            <w:tcBorders>
              <w:right w:val="single" w:sz="8" w:color="auto"/>
            </w:tcBorders>
          </w:tcPr>
          <w:p>
            <w:pPr>
              <w:spacing w:after="0"/>
              <w:rPr>
                <w:sz w:val="24"/>
                <w:szCs w:val="24"/>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w w:val="96"/>
              </w:rPr>
              <w:t>CHECK BOX IF DISCLOSURE OF LEGAL PROCEEDINGS IS REQUIRED PURSUANT TO ITEM 2(d) or 2(e)</w:t>
            </w:r>
          </w:p>
        </w:tc>
        <w:tc>
          <w:tcPr>
            <w:tcW w:w="2040" w:type="dxa"/>
            <w:vAlign w:val="bottom"/>
            <w:tcBorders>
              <w:right w:val="single" w:sz="8" w:color="auto"/>
            </w:tcBorders>
          </w:tcPr>
          <w:p>
            <w:pPr>
              <w:jc w:val="right"/>
              <w:ind w:right="16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6</w:t>
            </w:r>
          </w:p>
        </w:tc>
        <w:tc>
          <w:tcPr>
            <w:tcW w:w="560" w:type="dxa"/>
            <w:vAlign w:val="bottom"/>
            <w:tcBorders>
              <w:right w:val="single" w:sz="8" w:color="auto"/>
            </w:tcBorders>
          </w:tcPr>
          <w:p>
            <w:pPr>
              <w:spacing w:after="0"/>
              <w:rPr>
                <w:sz w:val="21"/>
                <w:szCs w:val="21"/>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color w:val="auto"/>
              </w:rPr>
              <w:t>U.S. Citizen</w:t>
            </w:r>
          </w:p>
        </w:tc>
        <w:tc>
          <w:tcPr>
            <w:tcW w:w="6940" w:type="dxa"/>
            <w:vAlign w:val="bottom"/>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80" w:type="dxa"/>
            <w:vAlign w:val="bottom"/>
            <w:tcBorders>
              <w:left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694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0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spacing w:after="0"/>
              <w:rPr>
                <w:sz w:val="22"/>
                <w:szCs w:val="22"/>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6"/>
              </w:rPr>
              <w:t>NUMBER OF</w:t>
            </w:r>
          </w:p>
        </w:tc>
        <w:tc>
          <w:tcPr>
            <w:tcW w:w="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694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574,972 shares, all of which are owned directly by SVP VIII. SM VIII, the general partner of SVP VIII, may be deemed to</w:t>
            </w:r>
          </w:p>
        </w:tc>
        <w:tc>
          <w:tcPr>
            <w:tcW w:w="0" w:type="dxa"/>
            <w:vAlign w:val="bottom"/>
          </w:tcPr>
          <w:p>
            <w:pPr>
              <w:spacing w:after="0"/>
              <w:rPr>
                <w:sz w:val="1"/>
                <w:szCs w:val="1"/>
                <w:color w:val="auto"/>
              </w:rPr>
            </w:pPr>
          </w:p>
        </w:tc>
      </w:tr>
      <w:tr>
        <w:trPr>
          <w:trHeight w:val="216"/>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have sole voting power, and Mehra, a managing member of SM VIII and director of the Issuer, may be deemed to have</w:t>
            </w:r>
          </w:p>
        </w:tc>
        <w:tc>
          <w:tcPr>
            <w:tcW w:w="0" w:type="dxa"/>
            <w:vAlign w:val="bottom"/>
          </w:tcPr>
          <w:p>
            <w:pPr>
              <w:spacing w:after="0"/>
              <w:rPr>
                <w:sz w:val="1"/>
                <w:szCs w:val="1"/>
                <w:color w:val="auto"/>
              </w:rPr>
            </w:pPr>
          </w:p>
        </w:tc>
      </w:tr>
      <w:tr>
        <w:trPr>
          <w:trHeight w:val="270"/>
        </w:trPr>
        <w:tc>
          <w:tcPr>
            <w:tcW w:w="280" w:type="dxa"/>
            <w:vAlign w:val="bottom"/>
            <w:tcBorders>
              <w:left w:val="single" w:sz="8" w:color="auto"/>
            </w:tcBorders>
          </w:tcPr>
          <w:p>
            <w:pPr>
              <w:spacing w:after="0"/>
              <w:rPr>
                <w:sz w:val="23"/>
                <w:szCs w:val="23"/>
                <w:color w:val="auto"/>
              </w:rPr>
            </w:pPr>
          </w:p>
        </w:tc>
        <w:tc>
          <w:tcPr>
            <w:tcW w:w="136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7"/>
              </w:rPr>
              <w:t>OWNED BY</w:t>
            </w:r>
          </w:p>
        </w:tc>
        <w:tc>
          <w:tcPr>
            <w:tcW w:w="800" w:type="dxa"/>
            <w:vAlign w:val="bottom"/>
            <w:tcBorders>
              <w:bottom w:val="single" w:sz="8" w:color="auto"/>
              <w:right w:val="single" w:sz="8" w:color="auto"/>
            </w:tcBorders>
          </w:tcPr>
          <w:p>
            <w:pPr>
              <w:spacing w:after="0"/>
              <w:rPr>
                <w:sz w:val="23"/>
                <w:szCs w:val="23"/>
                <w:color w:val="auto"/>
              </w:rPr>
            </w:pPr>
          </w:p>
        </w:tc>
        <w:tc>
          <w:tcPr>
            <w:tcW w:w="69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shared voting power to vote these shares.</w:t>
            </w:r>
          </w:p>
        </w:tc>
        <w:tc>
          <w:tcPr>
            <w:tcW w:w="2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8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tcPr>
          <w:p>
            <w:pPr>
              <w:jc w:val="center"/>
              <w:ind w:right="190"/>
              <w:spacing w:after="0" w:line="182" w:lineRule="exact"/>
              <w:rPr>
                <w:sz w:val="20"/>
                <w:szCs w:val="20"/>
                <w:color w:val="auto"/>
              </w:rPr>
            </w:pPr>
            <w:r>
              <w:rPr>
                <w:rFonts w:ascii="Arial" w:cs="Arial" w:eastAsia="Arial" w:hAnsi="Arial"/>
                <w:sz w:val="18"/>
                <w:szCs w:val="18"/>
                <w:color w:val="auto"/>
                <w:w w:val="95"/>
              </w:rPr>
              <w:t>EACH</w:t>
            </w: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20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3"/>
              </w:rPr>
              <w:t>REPORTING</w:t>
            </w:r>
          </w:p>
        </w:tc>
        <w:tc>
          <w:tcPr>
            <w:tcW w:w="800" w:type="dxa"/>
            <w:vAlign w:val="bottom"/>
            <w:tcBorders>
              <w:right w:val="single" w:sz="8" w:color="auto"/>
            </w:tcBorders>
            <w:vMerge w:val="continue"/>
          </w:tcPr>
          <w:p>
            <w:pPr>
              <w:spacing w:after="0"/>
              <w:rPr>
                <w:sz w:val="5"/>
                <w:szCs w:val="5"/>
                <w:color w:val="auto"/>
              </w:rPr>
            </w:pPr>
          </w:p>
        </w:tc>
        <w:tc>
          <w:tcPr>
            <w:tcW w:w="6940" w:type="dxa"/>
            <w:vAlign w:val="bottom"/>
            <w:vMerge w:val="continue"/>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80" w:type="dxa"/>
            <w:vAlign w:val="bottom"/>
            <w:tcBorders>
              <w:left w:val="single" w:sz="8" w:color="auto"/>
            </w:tcBorders>
          </w:tcPr>
          <w:p>
            <w:pPr>
              <w:spacing w:after="0"/>
              <w:rPr>
                <w:sz w:val="12"/>
                <w:szCs w:val="12"/>
                <w:color w:val="auto"/>
              </w:rPr>
            </w:pPr>
          </w:p>
        </w:tc>
        <w:tc>
          <w:tcPr>
            <w:tcW w:w="1360" w:type="dxa"/>
            <w:vAlign w:val="bottom"/>
            <w:tcBorders>
              <w:right w:val="single" w:sz="8" w:color="auto"/>
            </w:tcBorders>
            <w:gridSpan w:val="2"/>
            <w:vMerge w:val="continue"/>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0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80" w:type="dxa"/>
            <w:vAlign w:val="bottom"/>
            <w:tcBorders>
              <w:left w:val="single" w:sz="8" w:color="auto"/>
            </w:tcBorders>
          </w:tcPr>
          <w:p>
            <w:pPr>
              <w:spacing w:after="0"/>
              <w:rPr>
                <w:sz w:val="7"/>
                <w:szCs w:val="7"/>
                <w:color w:val="auto"/>
              </w:rPr>
            </w:pPr>
          </w:p>
        </w:tc>
        <w:tc>
          <w:tcPr>
            <w:tcW w:w="136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89"/>
              </w:rPr>
              <w:t>PERSON</w:t>
            </w:r>
          </w:p>
        </w:tc>
        <w:tc>
          <w:tcPr>
            <w:tcW w:w="800" w:type="dxa"/>
            <w:vAlign w:val="bottom"/>
            <w:tcBorders>
              <w:right w:val="single" w:sz="8" w:color="auto"/>
            </w:tcBorders>
          </w:tcPr>
          <w:p>
            <w:pPr>
              <w:spacing w:after="0"/>
              <w:rPr>
                <w:sz w:val="7"/>
                <w:szCs w:val="7"/>
                <w:color w:val="auto"/>
              </w:rPr>
            </w:pPr>
          </w:p>
        </w:tc>
        <w:tc>
          <w:tcPr>
            <w:tcW w:w="6940" w:type="dxa"/>
            <w:vAlign w:val="bottom"/>
            <w:vMerge w:val="continue"/>
          </w:tcPr>
          <w:p>
            <w:pPr>
              <w:spacing w:after="0"/>
              <w:rPr>
                <w:sz w:val="7"/>
                <w:szCs w:val="7"/>
                <w:color w:val="auto"/>
              </w:rPr>
            </w:pPr>
          </w:p>
        </w:tc>
        <w:tc>
          <w:tcPr>
            <w:tcW w:w="20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8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8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w:t>
            </w:r>
          </w:p>
        </w:tc>
        <w:tc>
          <w:tcPr>
            <w:tcW w:w="694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0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8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90"/>
              <w:spacing w:after="0" w:line="189" w:lineRule="exact"/>
              <w:rPr>
                <w:sz w:val="20"/>
                <w:szCs w:val="20"/>
                <w:color w:val="auto"/>
              </w:rPr>
            </w:pPr>
            <w:r>
              <w:rPr>
                <w:rFonts w:ascii="Arial" w:cs="Arial" w:eastAsia="Arial" w:hAnsi="Arial"/>
                <w:sz w:val="18"/>
                <w:szCs w:val="18"/>
                <w:color w:val="auto"/>
              </w:rPr>
              <w:t>WITH</w:t>
            </w:r>
          </w:p>
        </w:tc>
        <w:tc>
          <w:tcPr>
            <w:tcW w:w="800" w:type="dxa"/>
            <w:vAlign w:val="bottom"/>
            <w:tcBorders>
              <w:right w:val="single" w:sz="8" w:color="auto"/>
            </w:tcBorders>
            <w:vMerge w:val="continue"/>
          </w:tcPr>
          <w:p>
            <w:pPr>
              <w:spacing w:after="0"/>
              <w:rPr>
                <w:sz w:val="16"/>
                <w:szCs w:val="16"/>
                <w:color w:val="auto"/>
              </w:rPr>
            </w:pPr>
          </w:p>
        </w:tc>
        <w:tc>
          <w:tcPr>
            <w:tcW w:w="6940" w:type="dxa"/>
            <w:vAlign w:val="bottom"/>
            <w:vMerge w:val="continue"/>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574,972 shares, all of which are owned directly by SVP VIII. SM VIII, the general partner of SVP VIII, may be deemed to</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9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have sole dispositive power, and Mehra, a managing member of SM VIII and director of the Issuer, may be deemed to</w:t>
            </w:r>
          </w:p>
        </w:tc>
        <w:tc>
          <w:tcPr>
            <w:tcW w:w="0" w:type="dxa"/>
            <w:vAlign w:val="bottom"/>
          </w:tcPr>
          <w:p>
            <w:pPr>
              <w:spacing w:after="0"/>
              <w:rPr>
                <w:sz w:val="1"/>
                <w:szCs w:val="1"/>
                <w:color w:val="auto"/>
              </w:rPr>
            </w:pPr>
          </w:p>
        </w:tc>
      </w:tr>
      <w:tr>
        <w:trPr>
          <w:trHeight w:val="230"/>
        </w:trPr>
        <w:tc>
          <w:tcPr>
            <w:tcW w:w="28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have shared power to dispose of these shares.</w:t>
            </w:r>
          </w:p>
        </w:tc>
        <w:tc>
          <w:tcPr>
            <w:tcW w:w="2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574,972</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204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28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04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8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540" w:type="dxa"/>
            <w:vAlign w:val="bottom"/>
            <w:tcBorders>
              <w:bottom w:val="single" w:sz="8" w:color="auto"/>
            </w:tcBorders>
            <w:gridSpan w:val="3"/>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13</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540" w:type="dxa"/>
            <w:vAlign w:val="bottom"/>
            <w:tcBorders>
              <w:bottom w:val="single" w:sz="8" w:color="auto"/>
            </w:tcBorders>
            <w:gridSpan w:val="3"/>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89"/>
              </w:rPr>
              <w:t>14</w:t>
            </w:r>
          </w:p>
        </w:tc>
        <w:tc>
          <w:tcPr>
            <w:tcW w:w="560" w:type="dxa"/>
            <w:vAlign w:val="bottom"/>
            <w:tcBorders>
              <w:right w:val="single" w:sz="8" w:color="auto"/>
            </w:tcBorders>
          </w:tcPr>
          <w:p>
            <w:pPr>
              <w:spacing w:after="0"/>
              <w:rPr>
                <w:sz w:val="22"/>
                <w:szCs w:val="22"/>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w:t>
            </w:r>
          </w:p>
        </w:tc>
        <w:tc>
          <w:tcPr>
            <w:tcW w:w="20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16"/>
        </w:trPr>
        <w:tc>
          <w:tcPr>
            <w:tcW w:w="28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80" w:type="dxa"/>
            <w:vAlign w:val="bottom"/>
            <w:tcBorders>
              <w:left w:val="single" w:sz="8" w:color="auto"/>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0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9"/>
        </w:trPr>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6" w:name="page7"/>
    <w:bookmarkEnd w:id="6"/>
    <w:p>
      <w:pPr>
        <w:spacing w:after="0"/>
        <w:tabs>
          <w:tab w:leader="none" w:pos="5540" w:val="left"/>
          <w:tab w:leader="none" w:pos="10500" w:val="left"/>
        </w:tabs>
        <w:rPr>
          <w:sz w:val="20"/>
          <w:szCs w:val="20"/>
          <w:color w:val="auto"/>
        </w:rPr>
      </w:pPr>
      <w:r>
        <w:rPr>
          <w:rFonts w:ascii="Arial" w:cs="Arial" w:eastAsia="Arial" w:hAnsi="Arial"/>
          <w:sz w:val="18"/>
          <w:szCs w:val="18"/>
          <w:color w:val="auto"/>
        </w:rPr>
        <w:t>CUSIP NO. 87166L100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7 of 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on Schedule 13D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Amendment No. 1 (“Amendment No. 1”) amends and restates the Statement on Schedule 13D initially filed on October 8, 2015 (“Original Schedule 13D”) and relates to the beneficial ownership of Common Stock, $0.00001 par value per share (“Common Stock”), of Synlogic, Inc. (f/k/a Mirna Therapeutics, Inc.) (the “Issuer”). This Amendment No. 1 is being filed by Sofinnova Venture Partners VIII, L.P., a Delaware limited partnership (“SVP VIII”), Sofinnova Management VIII, L.L.C., a Delaware limited liability company (“SM VIII”), Dr. Michael F. Powell (“Powell”), Dr. James I. Healy (“Healy”), and Dr. Anand Mehra (“Mehra” and collectively with SVP VIII, SM VIII, Powell, and Healy, the “Reporting Persons”). This Amendment No. 1 is being filed to update the aggregate percentage of the class of securities of the Issuer owned by the Reporting Persons due to dilution caused by the Issuer’s additional issuance of Common Shares from time to time since the date of the filing of the Original Schedule 13D.</w:t>
      </w:r>
    </w:p>
    <w:p>
      <w:pPr>
        <w:spacing w:after="0" w:line="1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SECURITY AND ISSUER.</w:t>
      </w:r>
    </w:p>
    <w:p>
      <w:pPr>
        <w:spacing w:after="0" w:line="229"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class of equity securities to which this statement relates is the Common Stock of the Issuer.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Issuer’s principal executive offices are located at 200 Sidney Street, Suite 320, Cambridge, Massachusetts 02139.</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IDENTITY AND BACKGROUND.</w:t>
      </w:r>
    </w:p>
    <w:p>
      <w:pPr>
        <w:spacing w:after="0" w:line="229" w:lineRule="exact"/>
        <w:rPr>
          <w:sz w:val="20"/>
          <w:szCs w:val="20"/>
          <w:color w:val="auto"/>
        </w:rPr>
      </w:pPr>
    </w:p>
    <w:p>
      <w:pPr>
        <w:jc w:val="both"/>
        <w:ind w:firstLine="656"/>
        <w:spacing w:after="0" w:line="259" w:lineRule="auto"/>
        <w:tabs>
          <w:tab w:leader="none" w:pos="99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persons and entities filing this Schedule 13D are SVP VIII, SM VIII, Powell, Healy, and Mehra. SM VIII, the general partner of SVP VIII, may be deemed to have sole power to vote and sole power to dispose of shares of the Issuer directly owned by SVP VIII. Dr. Srinivas Akkaraju, a reporting person on the Original Schedule 13D, is no longer a managing member of SM VIII, and accordingly, is no longer a reporting person on this Amendment No. 1.</w:t>
      </w:r>
    </w:p>
    <w:p>
      <w:pPr>
        <w:spacing w:after="0" w:line="186" w:lineRule="exact"/>
        <w:rPr>
          <w:rFonts w:ascii="Arial" w:cs="Arial" w:eastAsia="Arial" w:hAnsi="Arial"/>
          <w:sz w:val="18"/>
          <w:szCs w:val="18"/>
          <w:color w:val="auto"/>
        </w:rPr>
      </w:pPr>
    </w:p>
    <w:p>
      <w:pPr>
        <w:ind w:firstLine="656"/>
        <w:spacing w:after="0" w:line="277" w:lineRule="auto"/>
        <w:tabs>
          <w:tab w:leader="none" w:pos="100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address of the principal place of business for each of the Reporting Persons is c/o Sofinnova Ventures, 3000 Sand Hill Road, Bldg 4, Suite 250, Menlo Park, California 94025.</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06"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principal occupation of each of the Reporting Persons is the venture capital investment business. The principal business of SVP VIII is to make investments in private and public companies, and the principal business of SM VIII is to serve as the general partner of SVP VIII. Powell, Healy and Mehra are the managing members of SM VIII. Powell is a director of the Issuer.</w:t>
      </w:r>
    </w:p>
    <w:p>
      <w:pPr>
        <w:spacing w:after="0" w:line="181" w:lineRule="exact"/>
        <w:rPr>
          <w:rFonts w:ascii="Arial" w:cs="Arial" w:eastAsia="Arial" w:hAnsi="Arial"/>
          <w:sz w:val="18"/>
          <w:szCs w:val="18"/>
          <w:color w:val="auto"/>
        </w:rPr>
      </w:pPr>
    </w:p>
    <w:p>
      <w:pPr>
        <w:ind w:firstLine="656"/>
        <w:spacing w:after="0" w:line="277" w:lineRule="auto"/>
        <w:tabs>
          <w:tab w:leader="none" w:pos="101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987" w:val="left"/>
        </w:tabs>
        <w:numPr>
          <w:ilvl w:val="0"/>
          <w:numId w:val="2"/>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Arial" w:cs="Arial" w:eastAsia="Arial" w:hAnsi="Arial"/>
          <w:sz w:val="18"/>
          <w:szCs w:val="18"/>
          <w:color w:val="auto"/>
        </w:rPr>
      </w:pPr>
    </w:p>
    <w:p>
      <w:pPr>
        <w:ind w:left="1020" w:hanging="364"/>
        <w:spacing w:after="0"/>
        <w:tabs>
          <w:tab w:leader="none" w:pos="10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SVP VIII is a Delaware limited partnership. SM VIII is a Delaware limited liability company. Powell, Healy, and Mehra are U.S. citizens.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22, 2012, SVP VIII entered into a Series C investment agreement pursuant to which SVP VIII acquired from the Issuer an aggregate 1,244,269 shares of Series C preferred shares for a purchase price of approximately $7.64 share, or $ 9,499,999.41 in the aggregate. The Series C preferred shares accrued stock dividends payable in additional Series C preferred shares at a rate of 8% per annum accruing from the date of issuance. The aggregate amount of stock dividends that accrued through the closing of the Issuer’s initial public offering of Common Stock (“Offering”) from the Series C preferred shares held by SVP VIII was 258,191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7" w:name="page8"/>
    <w:bookmarkEnd w:id="7"/>
    <w:p>
      <w:pPr>
        <w:spacing w:after="0"/>
        <w:tabs>
          <w:tab w:leader="none" w:pos="5540" w:val="left"/>
          <w:tab w:leader="none" w:pos="10500" w:val="left"/>
        </w:tabs>
        <w:rPr>
          <w:sz w:val="20"/>
          <w:szCs w:val="20"/>
          <w:color w:val="auto"/>
        </w:rPr>
      </w:pPr>
      <w:r>
        <w:rPr>
          <w:rFonts w:ascii="Arial" w:cs="Arial" w:eastAsia="Arial" w:hAnsi="Arial"/>
          <w:sz w:val="18"/>
          <w:szCs w:val="18"/>
          <w:color w:val="auto"/>
        </w:rPr>
        <w:t>CUSIP NO. 87166L100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8 of 14</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31, 2015, SVP VIII entered into a Series D investment agreement pursuant to which SVP VIII acquired from the Issuer an aggregate 583,559 shares of Series D preferred shares for a purchase price of approximately $9.17 per share, or $ 5,348,323.12 in the aggregate. The Series D preferred shares accrued stock dividends payable in additional Series D preferred shares at a rate of 8% per annum accruing from the date of issuance. The aggregate amount of stock dividends that accrued through the closing of the Issuer’s initial public offering of Common Stock (“Offering”) from the Series D preferred shares held by SVP VIII was 31,650 shares of Common Stock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4, 2015, Powell was granted a stock option from the Issuer to purchase 6,666 shares of Common Stock at an exercise price of $6.45 per share. Such option will expire on June 4, 2025. The option vests with respect to 20% of the shares subject thereto on May 1, 2015, with the remaining shares vesting with respect to 1/8 of the remaining shares subject thereto on each six month anniversary thereafter, subject to Powell continuing to provide services to the Issuer through each such vesting date.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30, 2015, Powell was granted a stock option from the Issuer to purchase 7,200 shares of Common Stock at an exercise price of $7.00 per share. Such option will expire on September 30, 2025. The option vests with respect to 33.3% of the shares subject thereto on each yearly anniversary of September 30, 2015, subject to Powell continuing to provide services to the Issuer through each vesting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Offering, the Series C and Series D preferred shares automatically converted on a one-for-one basis into 1,244,268 shares of Common Stock and 583,559 shares of Common Stock respectively. The accrued stock dividends associated with the Series C and Series D preferred shares converted on one-for-one basis into 289.841 shares of Common Stock.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Offering, SVP VIII purchased 857,142 shares of Common Stock at $7 per share, or $5,999,994 in the aggregate. Such purchase occurred pursuant to and on the terms set forth in the Issuer’s Prospectus filed pursuant to Rule 424(b)(4) on October 1, 2015 with the Securities and Exchange Commission (the “Prospectus”).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Issuer effected a 1-for-15 reverse stock split immediately prior to the completion of the Offering. Accordingly, unless otherwise noted above, all disclosed numbers and nominal value of shares are adjusted for such stock split.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June 29, 2016, Powell was granted a stock option from the Issuer to purchase 10,000 shares of Common Stock at an exercise price of $4.74 per share. Such option will expire on June 29, 2026. Such option vests and becomes exercisable in full on the earlier of (A) June 29, 2017 or (B) immediately prior to the next annual meeting of the Issuer’s stockholders, subject to Powell continuing to provide services to the Issuer through such vesting date.</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2017, Mirna Therapeutics, Inc. completed its business combination with Synlogic, Inc. in accordance with the terms of the Agreement and Plan of Merger and Reorganization, dated as of May 15, 2017 (the “Merger”). On August 25, 2017, in connection with, and prior to the completion of, the Merger, the Issuer effected a 1:7 reserve stock split of its Common Stock. Accordingly, all disclosed numbers and nominal value of shares listed below are adjusted for such stock split.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August 28, 2017, Powell was granted a stock option from the Issuer to purchase 1,428 shares of Common Stock at an exercise price of $12.07 per share. Such option will expire on August 28, 2027. Such option vests and becomes exercisable in full on the earlier of (A) August 28, 2018 or (B) immediately prior to the next annual meeting of the Issuer’s stockholders, subject to Powell continuing to provide services to the Issuer through such vesting date.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29, 2017, Powell was granted a stock option from the Issuer to purchase 18,572 shares of Common Stock at an exercise price of $9.70 per share. Such option will expire on December 29, 2027. Such option vests and becomes exercisable in substantially equal installments on each of the first three anniversaries of August 28, 2017 subject to Powell continuing to provide services to the Issuer through each such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8" w:name="page9"/>
    <w:bookmarkEnd w:id="8"/>
    <w:p>
      <w:pPr>
        <w:spacing w:after="0"/>
        <w:tabs>
          <w:tab w:leader="none" w:pos="5540" w:val="left"/>
          <w:tab w:leader="none" w:pos="10500" w:val="left"/>
        </w:tabs>
        <w:rPr>
          <w:sz w:val="20"/>
          <w:szCs w:val="20"/>
          <w:color w:val="auto"/>
        </w:rPr>
      </w:pPr>
      <w:r>
        <w:rPr>
          <w:rFonts w:ascii="Arial" w:cs="Arial" w:eastAsia="Arial" w:hAnsi="Arial"/>
          <w:sz w:val="18"/>
          <w:szCs w:val="18"/>
          <w:color w:val="auto"/>
        </w:rPr>
        <w:t>CUSIP NO. 87166L100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9 of 14</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26, 2018, SVP VIII purchased 150,000 shares of Common Stock at $9.75 per share, or $1,462,500 in the aggregate, in connection with an offering of shares of Common Stock by the Issuer.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source of the funds for all purchases and acquisitions by the Reporting Persons was from working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part of the purchase price was borrowed by any Reporting Person for the purpose of acquiring any securities discussed in this Item 3.</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Reporting Persons hold their securities of the Issuer for investment purposes. Depending on the factors discussed herein, the Reporting Persons may, from time to time, acquire additional Common Stock and/or retain and/or sell all or a portion of the Common Stock held by the Reporting Persons in the open market or in privately negotiated transactions, and/or may distribute the Common Stock held by the Reporting Persons to their respective members or limited partners. Any actions the Reporting Persons might undertake will be dependent upon the Reporting Persons’ review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and other future developments. Except as set forth above, the Reporting Persons have no present plans or intentions which would result in or relate to any of the transactions described in subparagraphs (a) through (j) of Item 4 of Schedule 13D.</w:t>
      </w:r>
    </w:p>
    <w:p>
      <w:pPr>
        <w:spacing w:after="0" w:line="17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(a,b) Regarding aggregate beneficial ownership, see Row 11 of the cover page of each Reporting Person. Regarding percentage beneficial ownership, see Row 13 of the cover page of each Reporting Person. Regarding sole power to vote shares, see Row 7 of the cover page of each Reporting Person. Regarding shared power to vote shares, see Row 8 of the cover page of each Reporting Person. Regarding sole power to dispose of shares, see Row 9 of the cover page of each Reporting Person. Regarding shared power to dispose of shares, see Row 10 of the cover page of each Reporting Person. Percentage calculations were made based upon 21,414,885 shares of Common Stock outstanding immediately following the Issuer’s offering pursuant to the Issuer’s Prospectus Supplement filed on January 25, 2018.</w:t>
      </w:r>
    </w:p>
    <w:p>
      <w:pPr>
        <w:spacing w:after="0" w:line="193"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Except as set forth in Item 3 above, the Reporting Persons have not effected any transaction in the Common Stock of the Issuer during the past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days.</w:t>
      </w:r>
    </w:p>
    <w:p>
      <w:pPr>
        <w:spacing w:after="0" w:line="211" w:lineRule="exact"/>
        <w:rPr>
          <w:sz w:val="20"/>
          <w:szCs w:val="20"/>
          <w:color w:val="auto"/>
        </w:rPr>
      </w:pPr>
    </w:p>
    <w:p>
      <w:pPr>
        <w:jc w:val="both"/>
        <w:ind w:firstLine="656"/>
        <w:spacing w:after="0" w:line="264" w:lineRule="auto"/>
        <w:tabs>
          <w:tab w:leader="none" w:pos="103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certain circumstances set forth in the limited partnership agreement of SVP VIII, the general partner and limited partners of SVP VIII may be deemed to have the right to receive dividends from, or the proceeds from, the sale of shares of the Issuer owned by such entity of which they are a partner.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Reporting Persons ceased to be beneficial owners of more than five percent of the Issuer’s Common Stock on August 28, 2017.</w:t>
      </w:r>
    </w:p>
    <w:p>
      <w:pPr>
        <w:spacing w:after="0" w:line="233"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CONTRACTS, ARRANGEMENTS, UNDERSTANDINGS OR RELATIONSHIPS WITH RESPECT TO SECURITIES OF THE ISSUER.</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Pursuant to a lock-up agreement filed as Exhibit A to the Underwriting Agreement entered into with Citigroup Global Markets Inc. and Leerink Partners LLC as Representatives of the several underwriters in connection with the Offering, the Reporting Persons are subject to a lock-up period continuing and including the date 180 days after the date of the Prospectus, during which the Reporting Persons have agreed, subject to limited exceptions, not to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enter into any swap or other arrangement that transfers to another, in whole or in part, any of the economic consequences of ownership of Common Stock without the consent of the underwriters. The lock-up is more fully described in Exhibit A to the Underwriting Agreement filed as Exhibit 1.1 in Amendment No. 2 to the Issuer’s Registration Statement on Form S-1 (as amended from time to time) (File No. 333-206544),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9" w:name="page10"/>
    <w:bookmarkEnd w:id="9"/>
    <w:p>
      <w:pPr>
        <w:spacing w:after="0"/>
        <w:tabs>
          <w:tab w:leader="none" w:pos="5540" w:val="left"/>
          <w:tab w:leader="none" w:pos="10400" w:val="left"/>
        </w:tabs>
        <w:rPr>
          <w:sz w:val="20"/>
          <w:szCs w:val="20"/>
          <w:color w:val="auto"/>
        </w:rPr>
      </w:pPr>
      <w:r>
        <w:rPr>
          <w:rFonts w:ascii="Arial" w:cs="Arial" w:eastAsia="Arial" w:hAnsi="Arial"/>
          <w:sz w:val="18"/>
          <w:szCs w:val="18"/>
          <w:color w:val="auto"/>
        </w:rPr>
        <w:t>CUSIP NO. 87166L100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10 of 14</w:t>
      </w:r>
    </w:p>
    <w:p>
      <w:pPr>
        <w:spacing w:after="0" w:line="200" w:lineRule="exact"/>
        <w:rPr>
          <w:sz w:val="20"/>
          <w:szCs w:val="20"/>
          <w:color w:val="auto"/>
        </w:rPr>
      </w:pP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Reporting Persons are party to a Third Amended and Restated Investor Rights Agreement among the Issuer, the Reporting Persons and other shareholders. Subject to the terms of the Third Amended and Restated Investors’ Rights Agreement, holders of Common Stock having registration rights can demand that the Issuer file a registration statement or request that their shares be covered by a registration statement that the Issuer is otherwise filing. The Investors’ Rights Agreement dated as of March 31, 2015 is filed as Exhibit 4.3 to the Issuer’s Registration Statement on Form S-1 (File No. 333-206544), and is incorporated herein by reference.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4, 2015, Powell was granted a stock option from the Issuer to purchase 6,666 shares of Common Stock at an exercise price of $6.45 per share. Such option will expire on June 4, 2025. The option vests with respect to 20% of the shares subject thereto on May 1, 2015, with the remaining shares vesting with respect to 1/8 of the remaining shares subject thereto on each six month anniversary thereafter, subject to Powell continuing to provide services to the Issuer through each such vesting date.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30, 2015, Powell was granted a stock option from the Issuer to purchase 7,200 shares of Common Stock at an exercise price of $7.00 per share. Such option will expire on September 30, 2025. The option vests with respect to 33.3% of the shares subject thereto on each yearly anniversary of September 30, 2015, subject to Powell continuing to provide services to the Issuer through each vesting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Powell, in his capacity as a director of the Issuer, along with the other directors of the Issuer, entered into an Indemnification Agreement with the Issuer, as more fully described in the Prospectus and incorporated herein by reference to Exhibit 10.13 to the Issuer’s Registration Statement on Form S-1 (File No. 333-206544).</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A</w:t>
            </w:r>
          </w:p>
        </w:tc>
        <w:tc>
          <w:tcPr>
            <w:tcW w:w="9820" w:type="dxa"/>
            <w:vAlign w:val="bottom"/>
          </w:tcPr>
          <w:p>
            <w:pPr>
              <w:ind w:left="700"/>
              <w:spacing w:after="0"/>
              <w:rPr>
                <w:sz w:val="20"/>
                <w:szCs w:val="20"/>
                <w:color w:val="auto"/>
              </w:rPr>
            </w:pPr>
            <w:r>
              <w:rPr>
                <w:rFonts w:ascii="Arial" w:cs="Arial" w:eastAsia="Arial" w:hAnsi="Arial"/>
                <w:sz w:val="18"/>
                <w:szCs w:val="18"/>
                <w:color w:val="auto"/>
              </w:rPr>
              <w:t>Agreement of Joint Filing.</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B</w:t>
            </w:r>
          </w:p>
        </w:tc>
        <w:tc>
          <w:tcPr>
            <w:tcW w:w="9820" w:type="dxa"/>
            <w:vAlign w:val="bottom"/>
          </w:tcPr>
          <w:p>
            <w:pPr>
              <w:ind w:left="700"/>
              <w:spacing w:after="0"/>
              <w:rPr>
                <w:sz w:val="20"/>
                <w:szCs w:val="20"/>
                <w:color w:val="auto"/>
              </w:rPr>
            </w:pPr>
            <w:r>
              <w:rPr>
                <w:rFonts w:ascii="Arial" w:cs="Arial" w:eastAsia="Arial" w:hAnsi="Arial"/>
                <w:sz w:val="18"/>
                <w:szCs w:val="18"/>
                <w:color w:val="auto"/>
              </w:rPr>
              <w:t>Power of Attorney</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C</w:t>
            </w:r>
          </w:p>
        </w:tc>
        <w:tc>
          <w:tcPr>
            <w:tcW w:w="9820" w:type="dxa"/>
            <w:vAlign w:val="bottom"/>
          </w:tcPr>
          <w:p>
            <w:pPr>
              <w:ind w:left="700"/>
              <w:spacing w:after="0"/>
              <w:rPr>
                <w:sz w:val="20"/>
                <w:szCs w:val="20"/>
                <w:color w:val="auto"/>
              </w:rPr>
            </w:pPr>
            <w:r>
              <w:rPr>
                <w:rFonts w:ascii="Arial" w:cs="Arial" w:eastAsia="Arial" w:hAnsi="Arial"/>
                <w:sz w:val="18"/>
                <w:szCs w:val="18"/>
                <w:color w:val="auto"/>
                <w:w w:val="92"/>
              </w:rPr>
              <w:t>Form of Lock-Up Agreement entered into by and among the Issuer, the underwriters and certain others, and is incorporated</w:t>
            </w:r>
          </w:p>
        </w:tc>
      </w:tr>
      <w:tr>
        <w:trPr>
          <w:trHeight w:val="216"/>
        </w:trPr>
        <w:tc>
          <w:tcPr>
            <w:tcW w:w="160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w w:val="97"/>
              </w:rPr>
              <w:t>herein by reference to Exhibit A to the Underwriting Agreement filed as Exhibit 1.1 in Amendment No. 2 to the Issuer’s</w:t>
            </w:r>
          </w:p>
        </w:tc>
      </w:tr>
      <w:tr>
        <w:trPr>
          <w:trHeight w:val="216"/>
        </w:trPr>
        <w:tc>
          <w:tcPr>
            <w:tcW w:w="160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Registration Statement on Form S-1 (File No. 333-206544).</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D</w:t>
            </w:r>
          </w:p>
        </w:tc>
        <w:tc>
          <w:tcPr>
            <w:tcW w:w="9820" w:type="dxa"/>
            <w:vAlign w:val="bottom"/>
          </w:tcPr>
          <w:p>
            <w:pPr>
              <w:ind w:left="700"/>
              <w:spacing w:after="0"/>
              <w:rPr>
                <w:sz w:val="20"/>
                <w:szCs w:val="20"/>
                <w:color w:val="auto"/>
              </w:rPr>
            </w:pPr>
            <w:r>
              <w:rPr>
                <w:rFonts w:ascii="Arial" w:cs="Arial" w:eastAsia="Arial" w:hAnsi="Arial"/>
                <w:sz w:val="18"/>
                <w:szCs w:val="18"/>
                <w:color w:val="auto"/>
                <w:w w:val="94"/>
              </w:rPr>
              <w:t>Form of Indemnification Agreement for Directors and Officers, filed as Exhibit 10.13 to the Issuer’s Registration Statement</w:t>
            </w:r>
          </w:p>
        </w:tc>
      </w:tr>
      <w:tr>
        <w:trPr>
          <w:trHeight w:val="216"/>
        </w:trPr>
        <w:tc>
          <w:tcPr>
            <w:tcW w:w="1600" w:type="dxa"/>
            <w:vAlign w:val="bottom"/>
          </w:tcPr>
          <w:p>
            <w:pPr>
              <w:spacing w:after="0"/>
              <w:rPr>
                <w:sz w:val="18"/>
                <w:szCs w:val="18"/>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on Form S-1 (File No. 333-206544) is incorporated herein by reference.</w:t>
            </w: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 E</w:t>
            </w:r>
          </w:p>
        </w:tc>
        <w:tc>
          <w:tcPr>
            <w:tcW w:w="9820" w:type="dxa"/>
            <w:vAlign w:val="bottom"/>
          </w:tcPr>
          <w:p>
            <w:pPr>
              <w:ind w:left="700"/>
              <w:spacing w:after="0"/>
              <w:rPr>
                <w:sz w:val="20"/>
                <w:szCs w:val="20"/>
                <w:color w:val="auto"/>
              </w:rPr>
            </w:pPr>
            <w:r>
              <w:rPr>
                <w:rFonts w:ascii="Arial" w:cs="Arial" w:eastAsia="Arial" w:hAnsi="Arial"/>
                <w:sz w:val="18"/>
                <w:szCs w:val="18"/>
                <w:color w:val="auto"/>
                <w:w w:val="90"/>
              </w:rPr>
              <w:t>Third Amended and Restated Investors’ Rights Agreement dated as of March 31, 2015, was filed as Exhibit 4.3 to the Issuer’s</w:t>
            </w:r>
          </w:p>
        </w:tc>
      </w:tr>
      <w:tr>
        <w:trPr>
          <w:trHeight w:val="230"/>
        </w:trPr>
        <w:tc>
          <w:tcPr>
            <w:tcW w:w="1600" w:type="dxa"/>
            <w:vAlign w:val="bottom"/>
          </w:tcPr>
          <w:p>
            <w:pPr>
              <w:spacing w:after="0"/>
              <w:rPr>
                <w:sz w:val="20"/>
                <w:szCs w:val="20"/>
                <w:color w:val="auto"/>
              </w:rPr>
            </w:pPr>
          </w:p>
        </w:tc>
        <w:tc>
          <w:tcPr>
            <w:tcW w:w="9820" w:type="dxa"/>
            <w:vAlign w:val="bottom"/>
          </w:tcPr>
          <w:p>
            <w:pPr>
              <w:ind w:left="700"/>
              <w:spacing w:after="0"/>
              <w:rPr>
                <w:sz w:val="20"/>
                <w:szCs w:val="20"/>
                <w:color w:val="auto"/>
              </w:rPr>
            </w:pPr>
            <w:r>
              <w:rPr>
                <w:rFonts w:ascii="Arial" w:cs="Arial" w:eastAsia="Arial" w:hAnsi="Arial"/>
                <w:sz w:val="18"/>
                <w:szCs w:val="18"/>
                <w:color w:val="auto"/>
              </w:rPr>
              <w:t>Registration Statement on Form S-1 (File No. 333-206544) is incorporated herein by reference.</w:t>
            </w:r>
          </w:p>
        </w:tc>
      </w:tr>
      <w:tr>
        <w:trPr>
          <w:trHeight w:val="702"/>
        </w:trPr>
        <w:tc>
          <w:tcPr>
            <w:tcW w:w="160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0" w:name="page11"/>
    <w:bookmarkEnd w:id="10"/>
    <w:p>
      <w:pPr>
        <w:spacing w:after="0"/>
        <w:tabs>
          <w:tab w:leader="none" w:pos="5540" w:val="left"/>
          <w:tab w:leader="none" w:pos="10420" w:val="left"/>
        </w:tabs>
        <w:rPr>
          <w:sz w:val="20"/>
          <w:szCs w:val="20"/>
          <w:color w:val="auto"/>
        </w:rPr>
      </w:pPr>
      <w:r>
        <w:rPr>
          <w:rFonts w:ascii="Arial" w:cs="Arial" w:eastAsia="Arial" w:hAnsi="Arial"/>
          <w:sz w:val="18"/>
          <w:szCs w:val="18"/>
          <w:color w:val="auto"/>
        </w:rPr>
        <w:t>CUSIP NO. 87166L100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11 of 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2018</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SOFINNOVA VENTURE PARTNERS VIII,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SOFINNOVA MANAGEMENT VIII,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Nathalie Auber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SOFINNOVA MANAGEMENT VIII,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Nathalie Auber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DR. JAMES I. HEALY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DR. MICHAEL F. POWELL</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DR. ANAND MEHRA</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Nathalie Auber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1" w:name="page12"/>
    <w:bookmarkEnd w:id="11"/>
    <w:p>
      <w:pPr>
        <w:spacing w:after="0"/>
        <w:tabs>
          <w:tab w:leader="none" w:pos="5540" w:val="left"/>
          <w:tab w:leader="none" w:pos="10400" w:val="left"/>
        </w:tabs>
        <w:rPr>
          <w:sz w:val="20"/>
          <w:szCs w:val="20"/>
          <w:color w:val="auto"/>
        </w:rPr>
      </w:pPr>
      <w:r>
        <w:rPr>
          <w:rFonts w:ascii="Arial" w:cs="Arial" w:eastAsia="Arial" w:hAnsi="Arial"/>
          <w:sz w:val="18"/>
          <w:szCs w:val="18"/>
          <w:color w:val="auto"/>
        </w:rPr>
        <w:t>CUSIP NO. 87166L100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12 of 14</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ind w:left="320"/>
        <w:spacing w:after="0"/>
        <w:tabs>
          <w:tab w:leader="none" w:pos="128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1300" w:hanging="776"/>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Agreement of Joint Filing.</w:t>
      </w:r>
    </w:p>
    <w:p>
      <w:pPr>
        <w:spacing w:after="0" w:line="77" w:lineRule="exact"/>
        <w:rPr>
          <w:sz w:val="20"/>
          <w:szCs w:val="20"/>
          <w:color w:val="auto"/>
        </w:rPr>
      </w:pPr>
    </w:p>
    <w:p>
      <w:pPr>
        <w:ind w:left="1300" w:hanging="771"/>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77" w:lineRule="exact"/>
        <w:rPr>
          <w:sz w:val="20"/>
          <w:szCs w:val="20"/>
          <w:color w:val="auto"/>
        </w:rPr>
      </w:pPr>
    </w:p>
    <w:p>
      <w:pPr>
        <w:ind w:left="1300" w:hanging="771"/>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of Lock-Up Agreement incorporated herein by reference to Exhibit A to the Underwriting Agreement filed as Exhibit 1.1 in Amendment No. 2 to the Issuer’s Registration Statement on Form S-1 (File No. 333-206544).</w:t>
      </w:r>
    </w:p>
    <w:p>
      <w:pPr>
        <w:spacing w:after="0" w:line="22" w:lineRule="exact"/>
        <w:rPr>
          <w:sz w:val="20"/>
          <w:szCs w:val="20"/>
          <w:color w:val="auto"/>
        </w:rPr>
      </w:pPr>
    </w:p>
    <w:p>
      <w:pPr>
        <w:ind w:left="1300" w:hanging="776"/>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of Indemnification Agreement for Directors and Officers, filed as Exhibit 10.13 to the Issuer’s Registration Statement on Form S-1 (File No. 333-206544) is incorporated herein by reference.</w:t>
      </w:r>
    </w:p>
    <w:p>
      <w:pPr>
        <w:spacing w:after="0" w:line="170"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Third Amended and Restated Investors’ Rights Agreement dated as of March 31, 2105, was filed as Exhibit 4.3 to the Issuer’s Registration Statement on Form S-1 (File No. 333-206544)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2" w:name="page13"/>
    <w:bookmarkEnd w:id="12"/>
    <w:p>
      <w:pPr>
        <w:spacing w:after="0"/>
        <w:tabs>
          <w:tab w:leader="none" w:pos="5540" w:val="left"/>
          <w:tab w:leader="none" w:pos="10400" w:val="left"/>
        </w:tabs>
        <w:rPr>
          <w:sz w:val="20"/>
          <w:szCs w:val="20"/>
          <w:color w:val="auto"/>
        </w:rPr>
      </w:pPr>
      <w:r>
        <w:rPr>
          <w:rFonts w:ascii="Arial" w:cs="Arial" w:eastAsia="Arial" w:hAnsi="Arial"/>
          <w:sz w:val="18"/>
          <w:szCs w:val="18"/>
          <w:color w:val="auto"/>
        </w:rPr>
        <w:t>CUSIP NO. 87166L100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13 of 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undersigned hereby agree that a single Schedule 13D (or any amendment thereto) relating to the Common Stock of Synlogic, Inc. shall be filed on behalf of each of the undersigned and that this Agreement shall be filed as an exhibit to such Schedule 13D.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2018</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SOFINNOVA VENTURE PARTNERS VIII, L.P.,</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SOFINNOVA MANAGEMENT VIII,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Nathalie Auber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SOFINNOVA MANAGEMENT VIII, L.L.C.,</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Nathalie Auber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Attorney-in-Fact</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DR. JAMES I. HEALY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DR. MICHAEL F. POWELL</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DR. ANAND MEHRA</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Nathalie Auber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Nathalie Auber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3" w:name="page14"/>
    <w:bookmarkEnd w:id="13"/>
    <w:p>
      <w:pPr>
        <w:spacing w:after="0"/>
        <w:tabs>
          <w:tab w:leader="none" w:pos="5540" w:val="left"/>
          <w:tab w:leader="none" w:pos="10400" w:val="left"/>
        </w:tabs>
        <w:rPr>
          <w:sz w:val="20"/>
          <w:szCs w:val="20"/>
          <w:color w:val="auto"/>
        </w:rPr>
      </w:pPr>
      <w:r>
        <w:rPr>
          <w:rFonts w:ascii="Arial" w:cs="Arial" w:eastAsia="Arial" w:hAnsi="Arial"/>
          <w:sz w:val="18"/>
          <w:szCs w:val="18"/>
          <w:color w:val="auto"/>
        </w:rPr>
        <w:t>CUSIP NO. 87166L100</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6"/>
          <w:szCs w:val="16"/>
          <w:color w:val="auto"/>
        </w:rPr>
        <w:t>Page 14 of 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Nathalie Auber has signed this Schedule 13D as Attorney-In-Fact. Note that copies of the applicable Power of Attorney are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A"/>
      <w:numFmt w:val="bullet"/>
      <w:start w:val="1"/>
    </w:lvl>
  </w:abstractNum>
  <w:abstractNum w:abstractNumId="4">
    <w:nsid w:val="507ED7AB"/>
    <w:multiLevelType w:val="hybridMultilevel"/>
    <w:lvl w:ilvl="0">
      <w:lvlJc w:val="left"/>
      <w:lvlText w:val="B"/>
      <w:numFmt w:val="bullet"/>
      <w:start w:val="1"/>
    </w:lvl>
  </w:abstractNum>
  <w:abstractNum w:abstractNumId="5">
    <w:nsid w:val="2EB141F2"/>
    <w:multiLevelType w:val="hybridMultilevel"/>
    <w:lvl w:ilvl="0">
      <w:lvlJc w:val="left"/>
      <w:lvlText w:val="C"/>
      <w:numFmt w:val="bullet"/>
      <w:start w:val="1"/>
    </w:lvl>
  </w:abstractNum>
  <w:abstractNum w:abstractNumId="6">
    <w:nsid w:val="41B71EFB"/>
    <w:multiLevelType w:val="hybridMultilevel"/>
    <w:lvl w:ilvl="0">
      <w:lvlJc w:val="left"/>
      <w:lvlText w:val="D"/>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2019-12-17T07:40:38Z</dcterms:created>
  <dcterms:modified xsi:type="dcterms:W3CDTF">2019-12-17T07:40:38Z</dcterms:modified>
</cp:coreProperties>
</file>