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SYNLOGIC,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JACOB MA-WEAVER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CABLE CAR CAPITAL, LP, 601 California Street, Suite 1151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94108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415-857-1965</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Funicular Funds,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3,312,219.00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3,312,219.00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3,312,219.00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Cable Car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3,312,219.00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3,312,219.00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3,312,219.00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8979"/>
          </w:cols>
          <w:pgMar w:left="320" w:top="369"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Formerly known as Cable Car Capital LLC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Ma-Weaver Jacob</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3,312,219.00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69" w:right="1440"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3,312,219.00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3,312,219.00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SYNLOGIC,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PO BOX 30, WINCHESTER, MASSACHUSETTS , 01890.</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1 to the Schedule 13D filed by the undersigned ("Amendment No. 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relating to the Common Stock, par value $0.001 per share (the "Shares"), of Synlogic, Inc. (the "Issuer").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amends the Schedule 13D filed by the Reporting Persons as specifically set forth herein. Capitalized terms used but not otherwise defined herein have the meanings ascribed to such terms in the Schedule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2(b) is hereby amended to read as follows: Cable Car is an SEC registered investment adviser and serves as the general partner of the Fund.</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520"/>
        <w:spacing w:after="0" w:line="238" w:lineRule="auto"/>
        <w:rPr>
          <w:sz w:val="20"/>
          <w:szCs w:val="20"/>
          <w:color w:val="auto"/>
        </w:rPr>
      </w:pPr>
      <w:r>
        <w:rPr>
          <w:rFonts w:ascii="Times New Roman" w:cs="Times New Roman" w:eastAsia="Times New Roman" w:hAnsi="Times New Roman"/>
          <w:sz w:val="22"/>
          <w:szCs w:val="22"/>
          <w:color w:val="auto"/>
        </w:rPr>
        <w:t>Item 4 is hereby amended to add the following: On April 2, 2026, the Reporting Persons delivered a letter to the Board of Directors of the Issuer setting forth a non-binding proposal (the "Proposal") to acquire all outstanding Shares not already owned by the Reporting Persons for $0.64 per share in cash. The foregoing description of the Proposal does not purport to be complete and is qualified in its entirety by reference to the Proposal, which is attached as Exhibit 99.1 hereto and is incorporated by reference herein.</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220"/>
        <w:spacing w:after="0" w:line="249"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the Reporting Persons is based on 11,698,919 Shares outstanding as of March 5, 2026, which is the total number of Shares outstanding as reported in the Issuer's Annual Report on Form 10-K filed with the Securities and Exchange</w:t>
      </w:r>
    </w:p>
    <w:p>
      <w:pPr>
        <w:spacing w:after="0" w:line="1" w:lineRule="exact"/>
        <w:rPr>
          <w:sz w:val="20"/>
          <w:szCs w:val="20"/>
          <w:color w:val="auto"/>
        </w:rPr>
      </w:pPr>
    </w:p>
    <w:p>
      <w:pPr>
        <w:ind w:left="920" w:right="140" w:hanging="912"/>
        <w:spacing w:after="0" w:line="247"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Commission on March 12, 2026. As of the date hereof, the Fund beneficially owned 3,312,219 Shares, constituting approximately 28.3% of the Issuer's outstanding Shares. Cable Car, as the General Partner of the Fund, may be deemed the beneficial owner of the 3,312,219 Shares owned by the Fund. Mr. Ma-Weaver, as the Managing Member of Cable Car, may be deemed the beneficial owner of the 3,312,219 Shares owned by the Fund.</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560"/>
        <w:spacing w:after="0" w:line="256" w:lineRule="auto"/>
        <w:rPr>
          <w:sz w:val="20"/>
          <w:szCs w:val="20"/>
          <w:color w:val="auto"/>
        </w:rPr>
      </w:pPr>
      <w:r>
        <w:rPr>
          <w:rFonts w:ascii="Times New Roman" w:cs="Times New Roman" w:eastAsia="Times New Roman" w:hAnsi="Times New Roman"/>
          <w:sz w:val="22"/>
          <w:szCs w:val="22"/>
          <w:color w:val="auto"/>
        </w:rPr>
        <w:t>Item 6 is hereby amended to add the following: On April 2, 2026, the Reporting Persons submitted the Proposal defined and described in Item 4 above and attached as Exhibit 99.1 hereto.</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is hereby amended to add the following exhibit: 99.1 - Proposal, dated April 2,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60"/>
          </w:cols>
          <w:pgMar w:left="360" w:top="112" w:right="379" w:bottom="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Funicular Funds, LP</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Ma-Weaver</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Jacob Ma-Weaver, Managing Member</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Cable Car Capital, LP</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Ma-Weaver</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Name/Title: Jacob Ma-Weaver, Managing Member</w:t>
      </w:r>
    </w:p>
    <w:p>
      <w:pPr>
        <w:spacing w:after="0" w:line="56"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Ma-Weaver Jacob</w:t>
      </w:r>
    </w:p>
    <w:p>
      <w:pPr>
        <w:spacing w:after="0" w:line="152" w:lineRule="exact"/>
        <w:rPr>
          <w:sz w:val="20"/>
          <w:szCs w:val="20"/>
          <w:color w:val="auto"/>
        </w:rPr>
      </w:pPr>
    </w:p>
    <w:p>
      <w:pPr>
        <w:ind w:left="202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Jacob Ma-Weaver</w:t>
      </w:r>
    </w:p>
    <w:p>
      <w:pPr>
        <w:spacing w:after="0" w:line="4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Name/Title: Jacob Ma-Weaver</w:t>
      </w:r>
    </w:p>
    <w:p>
      <w:pPr>
        <w:spacing w:after="0" w:line="44" w:lineRule="exact"/>
        <w:rPr>
          <w:sz w:val="20"/>
          <w:szCs w:val="20"/>
          <w:color w:val="auto"/>
        </w:rPr>
      </w:pPr>
    </w:p>
    <w:p>
      <w:pPr>
        <w:ind w:left="202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2026-04-06T15:21:42Z</dcterms:created>
  <dcterms:modified xsi:type="dcterms:W3CDTF">2026-04-06T15:21:42Z</dcterms:modified>
</cp:coreProperties>
</file>