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ybx-20251215.htm"/>
      <w:bookmarkStart w:id="1" w:name="kssybx20251215"/>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36" w:type="dxa"/>
        <w:jc w:val="left"/>
        <w:tblInd w:w="0" w:type="dxa"/>
        <w:tblLayout w:type="fixed"/>
        <w:tblCellMar>
          <w:top w:w="28" w:type="dxa"/>
          <w:left w:w="28" w:type="dxa"/>
          <w:bottom w:w="28" w:type="dxa"/>
          <w:right w:w="28" w:type="dxa"/>
        </w:tblCellMar>
      </w:tblPr>
      <w:tblGrid>
        <w:gridCol w:w="5836"/>
      </w:tblGrid>
      <w:tr>
        <w:trPr/>
        <w:tc>
          <w:tcPr>
            <w:tcW w:w="5836" w:type="dxa"/>
            <w:tcBorders/>
            <w:vAlign w:val="center"/>
          </w:tcPr>
          <w:p>
            <w:pPr>
              <w:pStyle w:val="TableContents"/>
              <w:bidi w:val="0"/>
              <w:spacing w:before="0" w:after="283"/>
              <w:jc w:val="left"/>
              <w:rPr>
                <w:sz w:val="4"/>
                <w:szCs w:val="4"/>
              </w:rPr>
            </w:pPr>
            <w:r>
              <w:rPr>
                <w:sz w:val="4"/>
                <w:szCs w:val="4"/>
              </w:rPr>
            </w:r>
          </w:p>
        </w:tc>
      </w:tr>
      <w:tr>
        <w:trPr/>
        <w:tc>
          <w:tcPr>
            <w:tcW w:w="5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December 15,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SYNLOGIC,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001-37566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26-1824804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 Box 30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Winchester,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01890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659-2802</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color w:val="000000"/>
          <w:sz w:val="20"/>
          <w:u w:val="single"/>
        </w:rPr>
        <w:t xml:space="preserve">see </w:t>
      </w:r>
      <w:r>
        <w:rPr>
          <w:rFonts w:ascii="Times New Roman" w:hAnsi="Times New Roman"/>
          <w:color w:val="000000"/>
          <w:sz w:val="20"/>
        </w:rPr>
        <w:t xml:space="preserve">General Instruction A.2. below): </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260" w:type="dxa"/>
        <w:jc w:val="left"/>
        <w:tblInd w:w="0" w:type="dxa"/>
        <w:tblLayout w:type="fixed"/>
        <w:tblCellMar>
          <w:top w:w="28" w:type="dxa"/>
          <w:left w:w="28" w:type="dxa"/>
          <w:bottom w:w="28" w:type="dxa"/>
          <w:right w:w="28" w:type="dxa"/>
        </w:tblCellMar>
      </w:tblPr>
      <w:tblGrid>
        <w:gridCol w:w="3196"/>
        <w:gridCol w:w="146"/>
        <w:gridCol w:w="946"/>
        <w:gridCol w:w="146"/>
        <w:gridCol w:w="382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SYBX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(17 CFR § 230.405) or Rule 12b-2 of the Securities Exchange Act of 1934 (17 CFR § 240.12b-2).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0" w:after="120"/>
        <w:jc w:val="left"/>
        <w:rPr>
          <w:rFonts w:ascii="Times New Roman" w:hAnsi="Times New Roman"/>
          <w:color w:val="212529"/>
          <w:sz w:val="20"/>
        </w:rPr>
      </w:pPr>
      <w:r>
        <w:rPr>
          <w:rFonts w:ascii="Times New Roman" w:hAnsi="Times New Roman"/>
          <w:color w:val="212529"/>
          <w:sz w:val="20"/>
        </w:rPr>
        <w:t>(e) As reported below in Item 5.07 of this Current Report on Form 8-K (the “Report”), Synlogic, Inc. (the “Company”) held its 2025 annual meeting of stockholders (the “Annual Meeting”) on December 15, 2025, at which the Company’s stockholders approved the adoption of the Synlogic, Inc. 2025 Equity Incentive Plan (the “2025 Plan”). The 2025 Plan authorizes for issuance an aggregate of 1,000,000 shares of common stock, par value $0.001 per share, of the Company (the “Common Stock”), plus 332,468 additional shares of Common Stock, which may be issued under the 2025 Plan if awards outstanding under the 2015 Equity Incentive Award Plan (the “2015 Plan”) are cancelled or expire on or after December 15, 2025.</w:t>
      </w:r>
    </w:p>
    <w:p>
      <w:pPr>
        <w:pStyle w:val="TextBody"/>
        <w:bidi w:val="0"/>
        <w:spacing w:before="0" w:after="120"/>
        <w:jc w:val="left"/>
        <w:rPr>
          <w:rFonts w:ascii="Times New Roman" w:hAnsi="Times New Roman"/>
          <w:color w:val="212529"/>
          <w:sz w:val="20"/>
        </w:rPr>
      </w:pPr>
      <w:r>
        <w:rPr>
          <w:rFonts w:ascii="Times New Roman" w:hAnsi="Times New Roman"/>
          <w:color w:val="212529"/>
          <w:sz w:val="20"/>
        </w:rPr>
        <w:t xml:space="preserve">The 2025 Plan is the successor to the 2015 Plan, and accordingly, no further awards will be made under the 2015 Plan and any awards granted under the 2015 Plan prior to the date of the Annual Meeting will remain outstanding under the 2015 Plan and will continue to vest and/or become exercisable in accordance with their original terms and conditions. </w:t>
      </w:r>
    </w:p>
    <w:p>
      <w:pPr>
        <w:pStyle w:val="TextBody"/>
        <w:bidi w:val="0"/>
        <w:spacing w:before="0" w:after="120"/>
        <w:jc w:val="left"/>
        <w:rPr>
          <w:rFonts w:ascii="Times New Roman" w:hAnsi="Times New Roman"/>
          <w:color w:val="212529"/>
          <w:sz w:val="20"/>
        </w:rPr>
      </w:pPr>
      <w:r>
        <w:rPr>
          <w:rFonts w:ascii="Times New Roman" w:hAnsi="Times New Roman"/>
          <w:color w:val="212529"/>
          <w:sz w:val="20"/>
        </w:rPr>
        <w:t>A summary of the material terms of the 2025 Plan is set forth in the Company’s definitive proxy statement on Schedule 14A filed with the Securities and Exchange Commission on November 12, 2025 (the “Proxy Statement”), under the heading “Approval of the Synlogic, Inc. 2025 Equity Incentive Plan,” and is incorporated herein by reference. Such description is qualified in its entirety by reference to the actual terms of the 2025 Plan a copy of which is attached as Exhibit 10.1 to this Report and is incorporated herein by reference.</w:t>
      </w:r>
    </w:p>
    <w:p>
      <w:pPr>
        <w:pStyle w:val="Heading2"/>
        <w:bidi w:val="0"/>
        <w:spacing w:before="240" w:after="120"/>
        <w:jc w:val="left"/>
        <w:rPr>
          <w:rFonts w:ascii="Times New Roman" w:hAnsi="Times New Roman"/>
          <w:sz w:val="20"/>
        </w:rPr>
      </w:pPr>
      <w:r>
        <w:rPr>
          <w:rFonts w:ascii="Times New Roman" w:hAnsi="Times New Roman"/>
          <w:color w:val="000000"/>
          <w:sz w:val="20"/>
        </w:rPr>
        <w:t>Item 5.07 Submission of Matters to a Vote of Security Holders.</w:t>
        <w:br/>
        <w:br/>
      </w:r>
      <w:r>
        <w:rPr>
          <w:rFonts w:ascii="Times New Roman" w:hAnsi="Times New Roman"/>
          <w:b w:val="false"/>
          <w:color w:val="000000"/>
          <w:sz w:val="20"/>
        </w:rPr>
        <w:t xml:space="preserve">(a) </w:t>
      </w:r>
      <w:r>
        <w:rPr>
          <w:rFonts w:ascii="Times New Roman" w:hAnsi="Times New Roman"/>
          <w:b w:val="false"/>
          <w:color w:val="212529"/>
          <w:sz w:val="20"/>
        </w:rPr>
        <w:t>On December 15, 2025, the Company held its Annual Meeting. At the Annual Meeting, a quorum of 10,292,327 shares of the Company’s common stock, or 87.97% of the outstanding shares of common stock entitled to vote as of the record date of October 24, 2025, were present or represented by proxy.</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(b) The following actions were taken at the Annual Meeting:</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1. The following nominees were reelected to serve on the Company’s board of directors (the “Board of Directors”) as Class I directors until the Company’s 2028 annual meeting of stockholders, based on the following votes:</w:t>
      </w:r>
    </w:p>
    <w:p>
      <w:pPr>
        <w:pStyle w:val="TextBody"/>
        <w:bidi w:val="0"/>
        <w:spacing w:before="240" w:after="283"/>
        <w:jc w:val="left"/>
        <w:rPr/>
      </w:pPr>
      <w:r>
        <w:rPr/>
        <w:t> </w:t>
      </w:r>
    </w:p>
    <w:tbl>
      <w:tblPr>
        <w:tblW w:w="7414" w:type="dxa"/>
        <w:jc w:val="left"/>
        <w:tblInd w:w="0" w:type="dxa"/>
        <w:tblLayout w:type="fixed"/>
        <w:tblCellMar>
          <w:top w:w="28" w:type="dxa"/>
          <w:left w:w="28" w:type="dxa"/>
          <w:bottom w:w="28" w:type="dxa"/>
          <w:right w:w="28" w:type="dxa"/>
        </w:tblCellMar>
      </w:tblPr>
      <w:tblGrid>
        <w:gridCol w:w="1396"/>
        <w:gridCol w:w="187"/>
        <w:gridCol w:w="1193"/>
        <w:gridCol w:w="146"/>
        <w:gridCol w:w="493"/>
        <w:gridCol w:w="2297"/>
        <w:gridCol w:w="146"/>
        <w:gridCol w:w="185"/>
        <w:gridCol w:w="1180"/>
        <w:gridCol w:w="191"/>
      </w:tblGrid>
      <w:tr>
        <w:trPr/>
        <w:tc>
          <w:tcPr>
            <w:tcW w:w="13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Nominee</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Voted 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Voted To Withhold Authority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Flynn</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7,758,065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2,518,016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Richard P. Shea</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7,689,398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2,518,016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After the Annual Meeting, Edward Mathers continued to serve as a Class II Director for a term that expires at the 2026 annual meeting, and Peter Barrett, Ph.D. continued to serve as a Class III Director for a term that expires at the 2027 annual meeting.</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2. The Company’s stockholders approved, in a non-binding advisory vote, the compensation of the Company’s named executive officers, as disclosed in the Proxy Statement, based on the following votes:</w:t>
      </w:r>
    </w:p>
    <w:p>
      <w:pPr>
        <w:pStyle w:val="TextBody"/>
        <w:bidi w:val="0"/>
        <w:spacing w:before="240" w:after="283"/>
        <w:jc w:val="left"/>
        <w:rPr/>
      </w:pPr>
      <w:r>
        <w:rPr/>
        <w:t> </w:t>
      </w:r>
    </w:p>
    <w:tbl>
      <w:tblPr>
        <w:tblW w:w="6524" w:type="dxa"/>
        <w:jc w:val="left"/>
        <w:tblInd w:w="0" w:type="dxa"/>
        <w:tblLayout w:type="fixed"/>
        <w:tblCellMar>
          <w:top w:w="28" w:type="dxa"/>
          <w:left w:w="28" w:type="dxa"/>
          <w:bottom w:w="28" w:type="dxa"/>
          <w:right w:w="28" w:type="dxa"/>
        </w:tblCellMar>
      </w:tblPr>
      <w:tblGrid>
        <w:gridCol w:w="205"/>
        <w:gridCol w:w="1190"/>
        <w:gridCol w:w="146"/>
        <w:gridCol w:w="295"/>
        <w:gridCol w:w="1370"/>
        <w:gridCol w:w="146"/>
        <w:gridCol w:w="286"/>
        <w:gridCol w:w="1124"/>
        <w:gridCol w:w="146"/>
        <w:gridCol w:w="193"/>
        <w:gridCol w:w="1232"/>
        <w:gridCol w:w="191"/>
      </w:tblGrid>
      <w:tr>
        <w:trPr/>
        <w:tc>
          <w:tcPr>
            <w:tcW w:w="20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Voted 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Voted 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Abstaining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7,748,367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2,518,016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3. The Company’s stockholders approved the adoption of the 2025 Plan, based on the following votes:</w:t>
      </w:r>
    </w:p>
    <w:p>
      <w:pPr>
        <w:pStyle w:val="TextBody"/>
        <w:bidi w:val="0"/>
        <w:jc w:val="left"/>
        <w:rPr/>
      </w:pPr>
      <w:r>
        <w:rPr/>
        <w:t> </w:t>
      </w:r>
    </w:p>
    <w:tbl>
      <w:tblPr>
        <w:tblW w:w="6524" w:type="dxa"/>
        <w:jc w:val="left"/>
        <w:tblInd w:w="0" w:type="dxa"/>
        <w:tblLayout w:type="fixed"/>
        <w:tblCellMar>
          <w:top w:w="28" w:type="dxa"/>
          <w:left w:w="28" w:type="dxa"/>
          <w:bottom w:w="28" w:type="dxa"/>
          <w:right w:w="28" w:type="dxa"/>
        </w:tblCellMar>
      </w:tblPr>
      <w:tblGrid>
        <w:gridCol w:w="205"/>
        <w:gridCol w:w="1190"/>
        <w:gridCol w:w="146"/>
        <w:gridCol w:w="262"/>
        <w:gridCol w:w="1403"/>
        <w:gridCol w:w="146"/>
        <w:gridCol w:w="286"/>
        <w:gridCol w:w="1124"/>
        <w:gridCol w:w="146"/>
        <w:gridCol w:w="193"/>
        <w:gridCol w:w="1232"/>
        <w:gridCol w:w="191"/>
      </w:tblGrid>
      <w:tr>
        <w:trPr/>
        <w:tc>
          <w:tcPr>
            <w:tcW w:w="20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Voted 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Voted 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Abstaining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7,406,487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2,518,016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4. The selection of KPMG LLP as the Company’s independent registered public accounting firm for the fiscal year ending December 31, 2025 was ratified, based on the following votes:</w:t>
      </w:r>
    </w:p>
    <w:p>
      <w:pPr>
        <w:pStyle w:val="TextBody"/>
        <w:bidi w:val="0"/>
        <w:jc w:val="left"/>
        <w:rPr/>
      </w:pPr>
      <w:r>
        <w:rPr/>
        <w:t> </w:t>
      </w:r>
    </w:p>
    <w:tbl>
      <w:tblPr>
        <w:tblW w:w="6524" w:type="dxa"/>
        <w:jc w:val="left"/>
        <w:tblInd w:w="0" w:type="dxa"/>
        <w:tblLayout w:type="fixed"/>
        <w:tblCellMar>
          <w:top w:w="28" w:type="dxa"/>
          <w:left w:w="28" w:type="dxa"/>
          <w:bottom w:w="28" w:type="dxa"/>
          <w:right w:w="28" w:type="dxa"/>
        </w:tblCellMar>
      </w:tblPr>
      <w:tblGrid>
        <w:gridCol w:w="187"/>
        <w:gridCol w:w="1208"/>
        <w:gridCol w:w="146"/>
        <w:gridCol w:w="339"/>
        <w:gridCol w:w="1326"/>
        <w:gridCol w:w="146"/>
        <w:gridCol w:w="363"/>
        <w:gridCol w:w="1047"/>
        <w:gridCol w:w="146"/>
        <w:gridCol w:w="422"/>
        <w:gridCol w:w="1003"/>
        <w:gridCol w:w="191"/>
      </w:tblGrid>
      <w:tr>
        <w:trPr/>
        <w:tc>
          <w:tcPr>
            <w:tcW w:w="18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Voted 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Voted 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Abstaining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212529"/>
          <w:sz w:val="20"/>
        </w:rPr>
        <w:t>I</w:t>
      </w:r>
      <w:r>
        <w:rPr>
          <w:rFonts w:ascii="Times New Roman" w:hAnsi="Times New Roman"/>
          <w:b/>
          <w:color w:val="000000"/>
          <w:sz w:val="20"/>
        </w:rPr>
        <w:t>tem 9.01 Financial Statements and Exhibits.</w:t>
      </w:r>
    </w:p>
    <w:p>
      <w:pPr>
        <w:pStyle w:val="TextBody"/>
        <w:bidi w:val="0"/>
        <w:spacing w:before="24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 Exhibits</w:t>
      </w:r>
    </w:p>
    <w:p>
      <w:pPr>
        <w:pStyle w:val="TextBody"/>
        <w:bidi w:val="0"/>
        <w:jc w:val="left"/>
        <w:rPr/>
      </w:pPr>
      <w:r>
        <w:rPr/>
        <w:t> </w:t>
      </w:r>
    </w:p>
    <w:tbl>
      <w:tblPr>
        <w:tblW w:w="7423" w:type="dxa"/>
        <w:jc w:val="left"/>
        <w:tblInd w:w="0" w:type="dxa"/>
        <w:tblLayout w:type="fixed"/>
        <w:tblCellMar>
          <w:top w:w="28" w:type="dxa"/>
          <w:left w:w="28" w:type="dxa"/>
          <w:bottom w:w="28" w:type="dxa"/>
          <w:right w:w="28" w:type="dxa"/>
        </w:tblCellMar>
      </w:tblPr>
      <w:tblGrid>
        <w:gridCol w:w="646"/>
        <w:gridCol w:w="146"/>
        <w:gridCol w:w="663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b/>
                <w:color w:val="000000"/>
                <w:sz w:val="17"/>
              </w:rPr>
              <w:t>Exhibit</w:t>
              <w:br/>
              <w:t>   </w:t>
            </w:r>
            <w:r>
              <w:rPr>
                <w:rFonts w:ascii="Times New Roman" w:hAnsi="Times New Roman"/>
                <w:color w:val="000000"/>
                <w:sz w:val="17"/>
              </w:rPr>
              <w:t xml:space="preserve"> </w:t>
            </w:r>
            <w:r>
              <w:rPr>
                <w:rFonts w:ascii="Times New Roman" w:hAnsi="Times New Roman"/>
                <w:b/>
                <w:color w:val="000000"/>
                <w:sz w:val="17"/>
              </w:rPr>
              <w:t>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3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Description</w:t>
            </w:r>
          </w:p>
        </w:tc>
      </w:tr>
      <w:tr>
        <w:trPr/>
        <w:tc>
          <w:tcPr>
            <w:tcW w:w="6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120" w:after="283"/>
              <w:jc w:val="left"/>
              <w:rPr/>
            </w:pPr>
            <w:hyperlink w:anchor="sybx-ex10_1.htm">
              <w:r>
                <w:rPr>
                  <w:rStyle w:val="InternetLink"/>
                  <w:rFonts w:ascii="Times New Roman" w:hAnsi="Times New Roman"/>
                  <w:color w:val="0000FF"/>
                  <w:sz w:val="20"/>
                  <w:u w:val="single"/>
                </w:rPr>
                <w:t>Synlogic, Inc. 2025 Equity Incentive Plan</w:t>
              </w:r>
            </w:hyperlink>
          </w:p>
        </w:tc>
      </w:tr>
      <w:tr>
        <w:trPr/>
        <w:tc>
          <w:tcPr>
            <w:tcW w:w="6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187"/>
        <w:jc w:val="left"/>
        <w:rPr/>
      </w:pPr>
      <w:r>
        <w:rPr/>
        <w:t> </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 Management contract or compensatory plans or arrangements.</w:t>
      </w:r>
    </w:p>
    <w:p>
      <w:pPr>
        <w:pStyle w:val="TextBody"/>
        <w:bidi w:val="0"/>
        <w:spacing w:before="0" w:after="187"/>
        <w:jc w:val="left"/>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spacing w:before="0" w:after="187"/>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7742" w:type="dxa"/>
        <w:jc w:val="left"/>
        <w:tblInd w:w="0" w:type="dxa"/>
        <w:tblLayout w:type="fixed"/>
        <w:tblCellMar>
          <w:top w:w="28" w:type="dxa"/>
          <w:left w:w="28" w:type="dxa"/>
          <w:bottom w:w="28" w:type="dxa"/>
          <w:right w:w="28" w:type="dxa"/>
        </w:tblCellMar>
      </w:tblPr>
      <w:tblGrid>
        <w:gridCol w:w="1162"/>
        <w:gridCol w:w="1058"/>
        <w:gridCol w:w="631"/>
        <w:gridCol w:w="4891"/>
      </w:tblGrid>
      <w:tr>
        <w:trPr/>
        <w:tc>
          <w:tcPr>
            <w:tcW w:w="116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sz w:val="4"/>
                <w:szCs w:val="4"/>
              </w:rPr>
            </w:pPr>
            <w:r>
              <w:rPr>
                <w:sz w:val="4"/>
                <w:szCs w:val="4"/>
              </w:rPr>
            </w:r>
          </w:p>
        </w:tc>
      </w:tr>
      <w:tr>
        <w:trPr/>
        <w:tc>
          <w:tcPr>
            <w:tcW w:w="22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December 15, 2025 </w:t>
            </w:r>
          </w:p>
        </w:tc>
        <w:tc>
          <w:tcPr>
            <w:tcW w:w="5522"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Synlogic, Inc.</w:t>
            </w:r>
          </w:p>
          <w:p>
            <w:pPr>
              <w:pStyle w:val="TableContents"/>
              <w:bidi w:val="0"/>
              <w:spacing w:before="0" w:after="283"/>
              <w:jc w:val="left"/>
              <w:rPr/>
            </w:pPr>
            <w:r>
              <w:rPr/>
              <w:t> </w:t>
            </w:r>
          </w:p>
        </w:tc>
      </w:tr>
      <w:tr>
        <w:trPr/>
        <w:tc>
          <w:tcPr>
            <w:tcW w:w="1162" w:type="dxa"/>
            <w:tcBorders/>
            <w:tcMar>
              <w:top w:w="0" w:type="dxa"/>
              <w:left w:w="0" w:type="dxa"/>
              <w:bottom w:w="0" w:type="dxa"/>
              <w:right w:w="0" w:type="dxa"/>
            </w:tcMar>
            <w:vAlign w:val="center"/>
          </w:tcPr>
          <w:p>
            <w:pPr>
              <w:pStyle w:val="TableContents"/>
              <w:bidi w:val="0"/>
              <w:spacing w:before="86" w:after="283"/>
              <w:jc w:val="left"/>
              <w:rPr/>
            </w:pPr>
            <w:r>
              <w:rPr/>
              <w:t> </w:t>
            </w:r>
          </w:p>
        </w:tc>
        <w:tc>
          <w:tcPr>
            <w:tcW w:w="1058" w:type="dxa"/>
            <w:tcBorders/>
            <w:tcMar>
              <w:top w:w="0" w:type="dxa"/>
              <w:left w:w="0" w:type="dxa"/>
              <w:bottom w:w="0" w:type="dxa"/>
              <w:right w:w="0" w:type="dxa"/>
            </w:tcMar>
            <w:vAlign w:val="center"/>
          </w:tcPr>
          <w:p>
            <w:pPr>
              <w:pStyle w:val="TableContents"/>
              <w:bidi w:val="0"/>
              <w:spacing w:before="86" w:after="283"/>
              <w:jc w:val="left"/>
              <w:rPr/>
            </w:pPr>
            <w:r>
              <w:rPr/>
              <w:t> </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By:</w:t>
            </w:r>
          </w:p>
        </w:tc>
        <w:tc>
          <w:tcPr>
            <w:tcW w:w="489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Mary Beth Dooley</w:t>
            </w:r>
          </w:p>
        </w:tc>
      </w:tr>
      <w:tr>
        <w:trPr/>
        <w:tc>
          <w:tcPr>
            <w:tcW w:w="1162" w:type="dxa"/>
            <w:tcBorders/>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8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Mary Beth Dooley</w:t>
              <w:br/>
              <w:t>Principal Executive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sybx-ex10_1.htm"/>
      <w:bookmarkStart w:id="3" w:name="kssybxex10_1"/>
      <w:bookmarkEnd w:id="2"/>
      <w:bookmarkEnd w:id="3"/>
      <w:r>
        <w:rPr>
          <w:rFonts w:ascii="Times New Roman" w:hAnsi="Times New Roman"/>
          <w:b/>
          <w:color w:val="000000"/>
          <w:sz w:val="22"/>
        </w:rPr>
        <w:t>Exhibit 10.1</w:t>
      </w:r>
      <w:r>
        <w:br w:type="page"/>
      </w:r>
    </w:p>
    <w:p>
      <w:pPr>
        <w:pStyle w:val="TextBody"/>
        <w:bidi w:val="0"/>
        <w:jc w:val="both"/>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SYNLOGIC,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2025 EQUITY INCENTIVE PLAN</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1.</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DEFINITIONS.</w:t>
      </w:r>
    </w:p>
    <w:p>
      <w:pPr>
        <w:pStyle w:val="TextBody"/>
        <w:bidi w:val="0"/>
        <w:spacing w:before="0" w:after="240"/>
        <w:jc w:val="both"/>
        <w:rPr>
          <w:rFonts w:ascii="Times New Roman" w:hAnsi="Times New Roman"/>
          <w:sz w:val="20"/>
        </w:rPr>
      </w:pPr>
      <w:r>
        <w:rPr>
          <w:rFonts w:ascii="Times New Roman" w:hAnsi="Times New Roman"/>
          <w:color w:val="000000"/>
          <w:sz w:val="22"/>
        </w:rPr>
        <w:t>Unless otherwise specified or unless the context otherwise requires, the following terms, as used in this Synlogic, Inc. 2025</w:t>
      </w:r>
      <w:r>
        <w:rPr>
          <w:rFonts w:ascii="Times New Roman" w:hAnsi="Times New Roman"/>
          <w:color w:val="000000"/>
          <w:sz w:val="20"/>
        </w:rPr>
        <w:t xml:space="preserve"> </w:t>
      </w:r>
      <w:r>
        <w:rPr>
          <w:rFonts w:ascii="Times New Roman" w:hAnsi="Times New Roman"/>
          <w:color w:val="000000"/>
          <w:sz w:val="22"/>
        </w:rPr>
        <w:t>Equity Incentive Plan, have the following meanings:</w:t>
      </w:r>
    </w:p>
    <w:p>
      <w:pPr>
        <w:pStyle w:val="TextBody"/>
        <w:bidi w:val="0"/>
        <w:spacing w:before="0" w:after="240"/>
        <w:jc w:val="both"/>
        <w:rPr/>
      </w:pPr>
      <w:r>
        <w:rPr>
          <w:color w:val="000000"/>
        </w:rPr>
        <w:t>“</w:t>
      </w:r>
      <w:r>
        <w:rPr>
          <w:rFonts w:ascii="Times New Roman" w:hAnsi="Times New Roman"/>
          <w:b/>
          <w:color w:val="000000"/>
          <w:sz w:val="22"/>
        </w:rPr>
        <w:t>Administrator</w:t>
      </w:r>
      <w:r>
        <w:rPr>
          <w:rFonts w:ascii="Times New Roman" w:hAnsi="Times New Roman"/>
          <w:color w:val="000000"/>
          <w:sz w:val="20"/>
        </w:rPr>
        <w:t xml:space="preserve">” </w:t>
      </w:r>
      <w:r>
        <w:rPr>
          <w:rFonts w:ascii="Times New Roman" w:hAnsi="Times New Roman"/>
          <w:color w:val="000000"/>
          <w:sz w:val="22"/>
        </w:rPr>
        <w:t>means the Board of Directors, unless it has delegated power to act on its behalf to the Committee, in which case the term “Administrator” means the Committee.</w:t>
      </w:r>
    </w:p>
    <w:p>
      <w:pPr>
        <w:pStyle w:val="TextBody"/>
        <w:bidi w:val="0"/>
        <w:spacing w:before="0" w:after="240"/>
        <w:jc w:val="both"/>
        <w:rPr/>
      </w:pPr>
      <w:r>
        <w:rPr>
          <w:color w:val="000000"/>
        </w:rPr>
        <w:t>“</w:t>
      </w:r>
      <w:r>
        <w:rPr>
          <w:rFonts w:ascii="Times New Roman" w:hAnsi="Times New Roman"/>
          <w:b/>
          <w:color w:val="000000"/>
          <w:sz w:val="22"/>
        </w:rPr>
        <w:t>Affiliate</w:t>
      </w:r>
      <w:r>
        <w:rPr>
          <w:rFonts w:ascii="Times New Roman" w:hAnsi="Times New Roman"/>
          <w:color w:val="000000"/>
          <w:sz w:val="20"/>
        </w:rPr>
        <w:t xml:space="preserve">” </w:t>
      </w:r>
      <w:r>
        <w:rPr>
          <w:rFonts w:ascii="Times New Roman" w:hAnsi="Times New Roman"/>
          <w:color w:val="000000"/>
          <w:sz w:val="22"/>
        </w:rPr>
        <w:t>means a corporation or other entity, which, for purposes of Section 424 of the Code, is a parent or subsidiary of the Company, direct or indirect.</w:t>
      </w:r>
    </w:p>
    <w:p>
      <w:pPr>
        <w:pStyle w:val="TextBody"/>
        <w:bidi w:val="0"/>
        <w:spacing w:before="0" w:after="240"/>
        <w:jc w:val="both"/>
        <w:rPr/>
      </w:pPr>
      <w:r>
        <w:rPr>
          <w:color w:val="000000"/>
        </w:rPr>
        <w:t>“</w:t>
      </w:r>
      <w:r>
        <w:rPr>
          <w:rFonts w:ascii="Times New Roman" w:hAnsi="Times New Roman"/>
          <w:b/>
          <w:color w:val="000000"/>
          <w:sz w:val="22"/>
        </w:rPr>
        <w:t>Agreement</w:t>
      </w:r>
      <w:r>
        <w:rPr>
          <w:rFonts w:ascii="Times New Roman" w:hAnsi="Times New Roman"/>
          <w:color w:val="000000"/>
          <w:sz w:val="20"/>
        </w:rPr>
        <w:t xml:space="preserve">” </w:t>
      </w:r>
      <w:r>
        <w:rPr>
          <w:rFonts w:ascii="Times New Roman" w:hAnsi="Times New Roman"/>
          <w:color w:val="000000"/>
          <w:sz w:val="22"/>
        </w:rPr>
        <w:t>means a written or electronic document setting forth the terms of a Stock Right delivered pursuant to the Plan, in such form as the Administrator shall approve.</w:t>
      </w:r>
    </w:p>
    <w:p>
      <w:pPr>
        <w:pStyle w:val="TextBody"/>
        <w:bidi w:val="0"/>
        <w:spacing w:before="0" w:after="240"/>
        <w:jc w:val="both"/>
        <w:rPr/>
      </w:pPr>
      <w:r>
        <w:rPr>
          <w:color w:val="000000"/>
        </w:rPr>
        <w:t>“</w:t>
      </w:r>
      <w:r>
        <w:rPr>
          <w:rFonts w:ascii="Times New Roman" w:hAnsi="Times New Roman"/>
          <w:b/>
          <w:color w:val="000000"/>
          <w:sz w:val="22"/>
        </w:rPr>
        <w:t>Board of Directors</w:t>
      </w:r>
      <w:r>
        <w:rPr>
          <w:rFonts w:ascii="Times New Roman" w:hAnsi="Times New Roman"/>
          <w:color w:val="000000"/>
          <w:sz w:val="20"/>
        </w:rPr>
        <w:t xml:space="preserve">” </w:t>
      </w:r>
      <w:r>
        <w:rPr>
          <w:rFonts w:ascii="Times New Roman" w:hAnsi="Times New Roman"/>
          <w:color w:val="000000"/>
          <w:sz w:val="22"/>
        </w:rPr>
        <w:t>means the Board of Directors of the Company.</w:t>
      </w:r>
    </w:p>
    <w:p>
      <w:pPr>
        <w:pStyle w:val="TextBody"/>
        <w:bidi w:val="0"/>
        <w:spacing w:before="0" w:after="240"/>
        <w:jc w:val="both"/>
        <w:rPr/>
      </w:pPr>
      <w:r>
        <w:rPr>
          <w:color w:val="000000"/>
        </w:rPr>
        <w:t>“</w:t>
      </w:r>
      <w:r>
        <w:rPr>
          <w:rFonts w:ascii="Times New Roman" w:hAnsi="Times New Roman"/>
          <w:b/>
          <w:color w:val="000000"/>
          <w:sz w:val="22"/>
        </w:rPr>
        <w:t>Cause</w:t>
      </w:r>
      <w:r>
        <w:rPr>
          <w:rFonts w:ascii="Times New Roman" w:hAnsi="Times New Roman"/>
          <w:color w:val="000000"/>
          <w:sz w:val="20"/>
        </w:rPr>
        <w:t xml:space="preserve">” </w:t>
      </w:r>
      <w:r>
        <w:rPr>
          <w:rFonts w:ascii="Times New Roman" w:hAnsi="Times New Roman"/>
          <w:color w:val="000000"/>
          <w:sz w:val="22"/>
        </w:rPr>
        <w:t>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or any material written policy of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pStyle w:val="TextBody"/>
        <w:bidi w:val="0"/>
        <w:spacing w:before="0" w:after="240"/>
        <w:jc w:val="both"/>
        <w:rPr/>
      </w:pPr>
      <w:r>
        <w:rPr>
          <w:color w:val="000000"/>
        </w:rPr>
        <w:t>“</w:t>
      </w:r>
      <w:r>
        <w:rPr>
          <w:rFonts w:ascii="Times New Roman" w:hAnsi="Times New Roman"/>
          <w:b/>
          <w:color w:val="000000"/>
          <w:sz w:val="22"/>
        </w:rPr>
        <w:t>Change of Control</w:t>
      </w:r>
      <w:r>
        <w:rPr>
          <w:rFonts w:ascii="Times New Roman" w:hAnsi="Times New Roman"/>
          <w:color w:val="000000"/>
          <w:sz w:val="20"/>
        </w:rPr>
        <w:t xml:space="preserve">” </w:t>
      </w:r>
      <w:r>
        <w:rPr>
          <w:rFonts w:ascii="Times New Roman" w:hAnsi="Times New Roman"/>
          <w:color w:val="000000"/>
          <w:sz w:val="22"/>
        </w:rPr>
        <w:t>means the occurrence of any of the following events:</w:t>
      </w:r>
    </w:p>
    <w:p>
      <w:pPr>
        <w:pStyle w:val="TextBody"/>
        <w:bidi w:val="0"/>
        <w:spacing w:before="0" w:after="240"/>
        <w:jc w:val="both"/>
        <w:rPr>
          <w:rFonts w:ascii="Times New Roman" w:hAnsi="Times New Roman"/>
          <w:sz w:val="20"/>
        </w:rPr>
      </w:pPr>
      <w:r>
        <w:rPr>
          <w:rFonts w:ascii="Times New Roman" w:hAnsi="Times New Roman"/>
          <w:i/>
          <w:color w:val="000000"/>
          <w:sz w:val="22"/>
        </w:rPr>
        <w:t>Ownership</w:t>
      </w:r>
      <w:r>
        <w:rPr>
          <w:rFonts w:ascii="Times New Roman" w:hAnsi="Times New Roman"/>
          <w:color w:val="000000"/>
          <w:sz w:val="22"/>
        </w:rPr>
        <w:t>. Any “Person” (as such term is used in Sections 13(d) and 14(d) of the Exchange Act) becomes the “Beneficial 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pStyle w:val="TextBody"/>
        <w:bidi w:val="0"/>
        <w:spacing w:before="0" w:after="240"/>
        <w:jc w:val="both"/>
        <w:rPr>
          <w:rFonts w:ascii="Times New Roman" w:hAnsi="Times New Roman"/>
          <w:sz w:val="20"/>
        </w:rPr>
      </w:pPr>
      <w:r>
        <w:rPr>
          <w:rFonts w:ascii="Times New Roman" w:hAnsi="Times New Roman"/>
          <w:i/>
          <w:color w:val="000000"/>
          <w:sz w:val="22"/>
        </w:rPr>
        <w:t>Merger/Sale of Assets</w:t>
      </w:r>
      <w:r>
        <w:rPr>
          <w:rFonts w:ascii="Times New Roman" w:hAnsi="Times New Roman"/>
          <w:color w:val="000000"/>
          <w:sz w:val="22"/>
        </w:rPr>
        <w:t>. (A) A merger or consolidation of the Company whether or not approved by the Board of Directors,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entity)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shareholder approval; or</w:t>
      </w:r>
    </w:p>
    <w:p>
      <w:pPr>
        <w:pStyle w:val="TextBody"/>
        <w:bidi w:val="0"/>
        <w:spacing w:before="0" w:after="240"/>
        <w:jc w:val="both"/>
        <w:rPr>
          <w:rFonts w:ascii="Times New Roman" w:hAnsi="Times New Roman"/>
          <w:sz w:val="20"/>
        </w:rPr>
      </w:pPr>
      <w:r>
        <w:rPr>
          <w:rFonts w:ascii="Times New Roman" w:hAnsi="Times New Roman"/>
          <w:i/>
          <w:color w:val="000000"/>
          <w:sz w:val="22"/>
        </w:rPr>
        <w:t>Change in Board Composition</w:t>
      </w:r>
      <w:r>
        <w:rPr>
          <w:rFonts w:ascii="Times New Roman" w:hAnsi="Times New Roman"/>
          <w:color w:val="000000"/>
          <w:sz w:val="22"/>
        </w:rPr>
        <w:t>. A change in the composition of the Board of Directors, as a result of which fewer than a majority of the directors are Incumbent Directors. “</w:t>
      </w:r>
      <w:r>
        <w:rPr>
          <w:rFonts w:ascii="Times New Roman" w:hAnsi="Times New Roman"/>
          <w:b/>
          <w:color w:val="000000"/>
          <w:sz w:val="22"/>
        </w:rPr>
        <w:t>Incumbent Directors</w:t>
      </w:r>
      <w:r>
        <w:rPr>
          <w:rFonts w:ascii="Times New Roman" w:hAnsi="Times New Roman"/>
          <w:color w:val="000000"/>
          <w:sz w:val="20"/>
        </w:rPr>
        <w:t xml:space="preserve">” </w:t>
      </w:r>
      <w:r>
        <w:rPr>
          <w:rFonts w:ascii="Times New Roman" w:hAnsi="Times New Roman"/>
          <w:color w:val="000000"/>
          <w:sz w:val="22"/>
        </w:rPr>
        <w:t>shall mean</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directors who either (A) are directors of the Company as of the date this Plan was initially adopted,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pStyle w:val="TextBody"/>
        <w:bidi w:val="0"/>
        <w:spacing w:before="0" w:after="240"/>
        <w:jc w:val="both"/>
        <w:rPr>
          <w:rFonts w:ascii="Times New Roman" w:hAnsi="Times New Roman"/>
          <w:sz w:val="20"/>
        </w:rPr>
      </w:pPr>
      <w:r>
        <w:rPr>
          <w:rFonts w:ascii="Times New Roman" w:hAnsi="Times New Roman"/>
          <w:i/>
          <w:color w:val="000000"/>
          <w:sz w:val="22"/>
        </w:rPr>
        <w:t>provided</w:t>
      </w:r>
      <w:r>
        <w:rPr>
          <w:rFonts w:ascii="Times New Roman" w:hAnsi="Times New Roman"/>
          <w:color w:val="000000"/>
          <w:sz w:val="22"/>
        </w:rPr>
        <w:t>, that if any payment or benefit payable hereunder upon or following a Change of Control would be required to comply with the limitations of Section 409A(a)(2)(A)(v) of the Code in order to avoid an additional tax under Section 409A of the Code, such payment or benefit shall be made only if such Change of Control constitutes a change in ownership or control of the Company, or a change in ownership of the Company’s assets in accordance with Section 409A of the Code.</w:t>
      </w:r>
    </w:p>
    <w:p>
      <w:pPr>
        <w:pStyle w:val="TextBody"/>
        <w:bidi w:val="0"/>
        <w:spacing w:before="0" w:after="240"/>
        <w:jc w:val="both"/>
        <w:rPr/>
      </w:pPr>
      <w:r>
        <w:rPr>
          <w:color w:val="000000"/>
        </w:rPr>
        <w:t>“</w:t>
      </w:r>
      <w:r>
        <w:rPr>
          <w:rFonts w:ascii="Times New Roman" w:hAnsi="Times New Roman"/>
          <w:b/>
          <w:color w:val="000000"/>
          <w:sz w:val="22"/>
        </w:rPr>
        <w:t>Code</w:t>
      </w:r>
      <w:r>
        <w:rPr>
          <w:rFonts w:ascii="Times New Roman" w:hAnsi="Times New Roman"/>
          <w:color w:val="000000"/>
          <w:sz w:val="20"/>
        </w:rPr>
        <w:t xml:space="preserve">” </w:t>
      </w:r>
      <w:r>
        <w:rPr>
          <w:rFonts w:ascii="Times New Roman" w:hAnsi="Times New Roman"/>
          <w:color w:val="000000"/>
          <w:sz w:val="22"/>
        </w:rPr>
        <w:t>means the United States Internal Revenue Code of 1986, as amended including any successor statute, regulation and guidance thereto.</w:t>
      </w:r>
    </w:p>
    <w:p>
      <w:pPr>
        <w:pStyle w:val="TextBody"/>
        <w:bidi w:val="0"/>
        <w:spacing w:before="0" w:after="240"/>
        <w:jc w:val="both"/>
        <w:rPr/>
      </w:pPr>
      <w:r>
        <w:rPr>
          <w:color w:val="000000"/>
        </w:rPr>
        <w:t>“</w:t>
      </w:r>
      <w:r>
        <w:rPr>
          <w:rFonts w:ascii="Times New Roman" w:hAnsi="Times New Roman"/>
          <w:b/>
          <w:color w:val="000000"/>
          <w:sz w:val="22"/>
        </w:rPr>
        <w:t>Committee</w:t>
      </w:r>
      <w:r>
        <w:rPr>
          <w:rFonts w:ascii="Times New Roman" w:hAnsi="Times New Roman"/>
          <w:color w:val="000000"/>
          <w:sz w:val="20"/>
        </w:rPr>
        <w:t xml:space="preserve">” </w:t>
      </w:r>
      <w:r>
        <w:rPr>
          <w:rFonts w:ascii="Times New Roman" w:hAnsi="Times New Roman"/>
          <w:color w:val="000000"/>
          <w:sz w:val="22"/>
        </w:rPr>
        <w:t>means the committee of the Board of Directors, if any, to which the Board of Directors has delegated power to act under or pursuant to the provisions of the Plan.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Common</w:t>
      </w:r>
      <w:r>
        <w:rPr>
          <w:rFonts w:ascii="Times New Roman" w:hAnsi="Times New Roman"/>
          <w:color w:val="000000"/>
          <w:sz w:val="20"/>
        </w:rPr>
        <w:t xml:space="preserve"> </w:t>
      </w:r>
      <w:r>
        <w:rPr>
          <w:rFonts w:ascii="Times New Roman" w:hAnsi="Times New Roman"/>
          <w:b/>
          <w:color w:val="000000"/>
          <w:sz w:val="22"/>
        </w:rPr>
        <w:t>Stock</w:t>
      </w:r>
      <w:r>
        <w:rPr>
          <w:rFonts w:ascii="Times New Roman" w:hAnsi="Times New Roman"/>
          <w:color w:val="000000"/>
          <w:sz w:val="20"/>
        </w:rPr>
        <w:t xml:space="preserve">” </w:t>
      </w:r>
      <w:r>
        <w:rPr>
          <w:rFonts w:ascii="Times New Roman" w:hAnsi="Times New Roman"/>
          <w:color w:val="000000"/>
          <w:sz w:val="22"/>
        </w:rPr>
        <w:t>means shares of the Company’s common stock, $0.001 par value per share.</w:t>
      </w:r>
    </w:p>
    <w:p>
      <w:pPr>
        <w:pStyle w:val="TextBody"/>
        <w:bidi w:val="0"/>
        <w:spacing w:before="0" w:after="240"/>
        <w:jc w:val="both"/>
        <w:rPr/>
      </w:pPr>
      <w:r>
        <w:rPr>
          <w:color w:val="000000"/>
        </w:rPr>
        <w:t>“</w:t>
      </w:r>
      <w:r>
        <w:rPr>
          <w:rFonts w:ascii="Times New Roman" w:hAnsi="Times New Roman"/>
          <w:b/>
          <w:color w:val="000000"/>
          <w:sz w:val="22"/>
        </w:rPr>
        <w:t>Company</w:t>
      </w:r>
      <w:r>
        <w:rPr>
          <w:rFonts w:ascii="Times New Roman" w:hAnsi="Times New Roman"/>
          <w:color w:val="000000"/>
          <w:sz w:val="20"/>
        </w:rPr>
        <w:t xml:space="preserve">” </w:t>
      </w:r>
      <w:r>
        <w:rPr>
          <w:rFonts w:ascii="Times New Roman" w:hAnsi="Times New Roman"/>
          <w:color w:val="000000"/>
          <w:sz w:val="22"/>
        </w:rPr>
        <w:t>means Synlogic, Inc., a Delaware corporation.</w:t>
      </w:r>
    </w:p>
    <w:p>
      <w:pPr>
        <w:pStyle w:val="TextBody"/>
        <w:bidi w:val="0"/>
        <w:spacing w:before="0" w:after="240"/>
        <w:jc w:val="both"/>
        <w:rPr/>
      </w:pPr>
      <w:r>
        <w:rPr>
          <w:color w:val="000000"/>
        </w:rPr>
        <w:t>“</w:t>
      </w:r>
      <w:r>
        <w:rPr>
          <w:rFonts w:ascii="Times New Roman" w:hAnsi="Times New Roman"/>
          <w:b/>
          <w:color w:val="000000"/>
          <w:sz w:val="22"/>
        </w:rPr>
        <w:t>Consultant</w:t>
      </w:r>
      <w:r>
        <w:rPr>
          <w:rFonts w:ascii="Times New Roman" w:hAnsi="Times New Roman"/>
          <w:color w:val="000000"/>
          <w:sz w:val="20"/>
        </w:rPr>
        <w:t xml:space="preserve">” </w:t>
      </w:r>
      <w:r>
        <w:rPr>
          <w:rFonts w:ascii="Times New Roman" w:hAnsi="Times New Roman"/>
          <w:color w:val="000000"/>
          <w:sz w:val="22"/>
        </w:rPr>
        <w:t>means any natural person who is an advisor or consultant who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pStyle w:val="TextBody"/>
        <w:bidi w:val="0"/>
        <w:spacing w:before="0" w:after="240"/>
        <w:jc w:val="both"/>
        <w:rPr/>
      </w:pPr>
      <w:r>
        <w:rPr>
          <w:color w:val="000000"/>
        </w:rPr>
        <w:t>“</w:t>
      </w:r>
      <w:r>
        <w:rPr>
          <w:rFonts w:ascii="Times New Roman" w:hAnsi="Times New Roman"/>
          <w:b/>
          <w:color w:val="000000"/>
          <w:sz w:val="22"/>
        </w:rPr>
        <w:t>Corporate</w:t>
      </w:r>
      <w:r>
        <w:rPr>
          <w:rFonts w:ascii="Times New Roman" w:hAnsi="Times New Roman"/>
          <w:color w:val="000000"/>
          <w:sz w:val="20"/>
        </w:rPr>
        <w:t xml:space="preserve"> </w:t>
      </w:r>
      <w:r>
        <w:rPr>
          <w:rFonts w:ascii="Times New Roman" w:hAnsi="Times New Roman"/>
          <w:b/>
          <w:color w:val="000000"/>
          <w:sz w:val="22"/>
        </w:rPr>
        <w:t>Transaction</w:t>
      </w:r>
      <w:r>
        <w:rPr>
          <w:rFonts w:ascii="Times New Roman" w:hAnsi="Times New Roman"/>
          <w:color w:val="000000"/>
          <w:sz w:val="20"/>
        </w:rPr>
        <w:t xml:space="preserve">” </w:t>
      </w:r>
      <w:r>
        <w:rPr>
          <w:rFonts w:ascii="Times New Roman" w:hAnsi="Times New Roman"/>
          <w:color w:val="000000"/>
          <w:sz w:val="22"/>
        </w:rPr>
        <w:t>means a merger, consolidation, or sale of all or substantially all of the Company’s assets or the acquisition of all of the outstanding voting stock of the Company (or similar transaction) in a single transaction or a series of related transactions by a single entity other than a transaction in which the Company is the surviving corporation. Where a Corporate Transaction involves a tender offer that is reasonably expected to be followed by a merger (as determined by the Administrator), the Corporate Transaction will be deemed to have occurred upon consummation of the tender offer.</w:t>
      </w:r>
    </w:p>
    <w:p>
      <w:pPr>
        <w:pStyle w:val="TextBody"/>
        <w:bidi w:val="0"/>
        <w:spacing w:before="0" w:after="240"/>
        <w:jc w:val="both"/>
        <w:rPr/>
      </w:pPr>
      <w:r>
        <w:rPr>
          <w:color w:val="000000"/>
        </w:rPr>
        <w:t>“</w:t>
      </w:r>
      <w:r>
        <w:rPr>
          <w:rFonts w:ascii="Times New Roman" w:hAnsi="Times New Roman"/>
          <w:b/>
          <w:color w:val="000000"/>
          <w:sz w:val="22"/>
        </w:rPr>
        <w:t>Disability</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Disabled</w:t>
      </w:r>
      <w:r>
        <w:rPr>
          <w:rFonts w:ascii="Times New Roman" w:hAnsi="Times New Roman"/>
          <w:color w:val="000000"/>
          <w:sz w:val="20"/>
        </w:rPr>
        <w:t xml:space="preserve">” </w:t>
      </w:r>
      <w:r>
        <w:rPr>
          <w:rFonts w:ascii="Times New Roman" w:hAnsi="Times New Roman"/>
          <w:color w:val="000000"/>
          <w:sz w:val="22"/>
        </w:rPr>
        <w:t>means permanent and total disability as defined in Section 22(e)(3) of the Code.</w:t>
      </w:r>
    </w:p>
    <w:p>
      <w:pPr>
        <w:pStyle w:val="TextBody"/>
        <w:bidi w:val="0"/>
        <w:spacing w:before="0" w:after="240"/>
        <w:jc w:val="both"/>
        <w:rPr/>
      </w:pPr>
      <w:r>
        <w:rPr>
          <w:color w:val="000000"/>
        </w:rPr>
        <w:t>“</w:t>
      </w:r>
      <w:r>
        <w:rPr>
          <w:rFonts w:ascii="Times New Roman" w:hAnsi="Times New Roman"/>
          <w:b/>
          <w:color w:val="000000"/>
          <w:sz w:val="22"/>
        </w:rPr>
        <w:t>Employee</w:t>
      </w:r>
      <w:r>
        <w:rPr>
          <w:rFonts w:ascii="Times New Roman" w:hAnsi="Times New Roman"/>
          <w:color w:val="000000"/>
          <w:sz w:val="20"/>
        </w:rPr>
        <w:t xml:space="preserve">” </w:t>
      </w:r>
      <w:r>
        <w:rPr>
          <w:rFonts w:ascii="Times New Roman" w:hAnsi="Times New Roman"/>
          <w:color w:val="000000"/>
          <w:sz w:val="22"/>
        </w:rPr>
        <w:t>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pStyle w:val="TextBody"/>
        <w:bidi w:val="0"/>
        <w:spacing w:before="0" w:after="240"/>
        <w:jc w:val="both"/>
        <w:rPr/>
      </w:pPr>
      <w:r>
        <w:rPr>
          <w:color w:val="000000"/>
        </w:rPr>
        <w:t>“</w:t>
      </w:r>
      <w:r>
        <w:rPr>
          <w:rFonts w:ascii="Times New Roman" w:hAnsi="Times New Roman"/>
          <w:b/>
          <w:color w:val="000000"/>
          <w:sz w:val="22"/>
        </w:rPr>
        <w:t>Exchange Act</w:t>
      </w:r>
      <w:r>
        <w:rPr>
          <w:rFonts w:ascii="Times New Roman" w:hAnsi="Times New Roman"/>
          <w:color w:val="000000"/>
          <w:sz w:val="20"/>
        </w:rPr>
        <w:t xml:space="preserve">” </w:t>
      </w:r>
      <w:r>
        <w:rPr>
          <w:rFonts w:ascii="Times New Roman" w:hAnsi="Times New Roman"/>
          <w:color w:val="000000"/>
          <w:sz w:val="22"/>
        </w:rPr>
        <w:t>means the United States Securities Exchange Act of 1934, as amended.</w:t>
      </w:r>
    </w:p>
    <w:p>
      <w:pPr>
        <w:pStyle w:val="TextBody"/>
        <w:bidi w:val="0"/>
        <w:spacing w:before="0" w:after="240"/>
        <w:jc w:val="both"/>
        <w:rPr/>
      </w:pPr>
      <w:r>
        <w:rPr>
          <w:color w:val="000000"/>
        </w:rPr>
        <w:t>“</w:t>
      </w:r>
      <w:r>
        <w:rPr>
          <w:rFonts w:ascii="Times New Roman" w:hAnsi="Times New Roman"/>
          <w:b/>
          <w:color w:val="000000"/>
          <w:sz w:val="22"/>
        </w:rPr>
        <w:t>Fair Market Value</w:t>
      </w:r>
      <w:r>
        <w:rPr>
          <w:rFonts w:ascii="Times New Roman" w:hAnsi="Times New Roman"/>
          <w:color w:val="000000"/>
          <w:sz w:val="20"/>
        </w:rPr>
        <w:t xml:space="preserve">” </w:t>
      </w:r>
      <w:r>
        <w:rPr>
          <w:rFonts w:ascii="Times New Roman" w:hAnsi="Times New Roman"/>
          <w:color w:val="000000"/>
          <w:sz w:val="22"/>
        </w:rPr>
        <w:t>of a Share of Common Stock means: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Common Stock is listed on a national securities exchange or traded in the over</w:t>
        <w:noBreakHyphen/>
        <w:t>the</w:t>
        <w:noBreakHyphen/>
        <w:t>counter market and sales prices are regularly reported for the Common Stock, the closing or, if not applicable, the last price of the Common Stock on the consolidated tape or other comparable reporting system for the trading day on the applicable date and if such applicable date is not a trading day, the last market trading day prior to such date;</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Common Stock is not traded on a national securities exchange but is traded on the over</w:t>
        <w:noBreakHyphen/>
        <w:t>the</w:t>
        <w:noBreakHyphen/>
        <w:t>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most recent trading day on which Common Stock was traded on the applicable date and if such applicable date is not a trading day, the last market trading day prior to such date;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Common Stock is neither listed on a national securities exchange nor traded in the over</w:t>
        <w:noBreakHyphen/>
        <w:t>the</w:t>
        <w:noBreakHyphen/>
        <w:t>counter market, such value as the Administrator, in good faith, shall determine in compliance with applicable laws.</w:t>
      </w:r>
    </w:p>
    <w:p>
      <w:pPr>
        <w:pStyle w:val="TextBody"/>
        <w:bidi w:val="0"/>
        <w:spacing w:before="0" w:after="240"/>
        <w:jc w:val="both"/>
        <w:rPr/>
      </w:pPr>
      <w:r>
        <w:rPr>
          <w:color w:val="000000"/>
        </w:rPr>
        <w:t>“</w:t>
      </w:r>
      <w:r>
        <w:rPr>
          <w:rFonts w:ascii="Times New Roman" w:hAnsi="Times New Roman"/>
          <w:b/>
          <w:color w:val="000000"/>
          <w:sz w:val="22"/>
        </w:rPr>
        <w:t>ISO</w:t>
      </w:r>
      <w:r>
        <w:rPr>
          <w:rFonts w:ascii="Times New Roman" w:hAnsi="Times New Roman"/>
          <w:color w:val="000000"/>
          <w:sz w:val="20"/>
        </w:rPr>
        <w:t xml:space="preserve">” </w:t>
      </w:r>
      <w:r>
        <w:rPr>
          <w:rFonts w:ascii="Times New Roman" w:hAnsi="Times New Roman"/>
          <w:color w:val="000000"/>
          <w:sz w:val="22"/>
        </w:rPr>
        <w:t>means a stock option intended to qualify as an incentive stock option under Section 422 of the Code.</w:t>
      </w:r>
    </w:p>
    <w:p>
      <w:pPr>
        <w:pStyle w:val="TextBody"/>
        <w:bidi w:val="0"/>
        <w:spacing w:before="0" w:after="240"/>
        <w:jc w:val="both"/>
        <w:rPr/>
      </w:pPr>
      <w:r>
        <w:rPr>
          <w:color w:val="000000"/>
        </w:rPr>
        <w:t>“</w:t>
      </w:r>
      <w:r>
        <w:rPr>
          <w:rFonts w:ascii="Times New Roman" w:hAnsi="Times New Roman"/>
          <w:b/>
          <w:color w:val="000000"/>
          <w:sz w:val="22"/>
        </w:rPr>
        <w:t>Non</w:t>
        <w:noBreakHyphen/>
        <w:t>Qualified Option</w:t>
      </w:r>
      <w:r>
        <w:rPr>
          <w:rFonts w:ascii="Times New Roman" w:hAnsi="Times New Roman"/>
          <w:color w:val="000000"/>
          <w:sz w:val="20"/>
        </w:rPr>
        <w:t xml:space="preserve">” </w:t>
      </w:r>
      <w:r>
        <w:rPr>
          <w:rFonts w:ascii="Times New Roman" w:hAnsi="Times New Roman"/>
          <w:color w:val="000000"/>
          <w:sz w:val="22"/>
        </w:rPr>
        <w:t>means a stock option which is not intended to qualify as an ISO.</w:t>
      </w:r>
    </w:p>
    <w:p>
      <w:pPr>
        <w:pStyle w:val="TextBody"/>
        <w:bidi w:val="0"/>
        <w:spacing w:before="0" w:after="240"/>
        <w:jc w:val="both"/>
        <w:rPr/>
      </w:pPr>
      <w:r>
        <w:rPr>
          <w:color w:val="000000"/>
        </w:rPr>
        <w:t>“</w:t>
      </w:r>
      <w:r>
        <w:rPr>
          <w:rFonts w:ascii="Times New Roman" w:hAnsi="Times New Roman"/>
          <w:b/>
          <w:color w:val="000000"/>
          <w:sz w:val="22"/>
        </w:rPr>
        <w:t>Option</w:t>
      </w:r>
      <w:r>
        <w:rPr>
          <w:rFonts w:ascii="Times New Roman" w:hAnsi="Times New Roman"/>
          <w:color w:val="000000"/>
          <w:sz w:val="20"/>
        </w:rPr>
        <w:t xml:space="preserve">” </w:t>
      </w:r>
      <w:r>
        <w:rPr>
          <w:rFonts w:ascii="Times New Roman" w:hAnsi="Times New Roman"/>
          <w:color w:val="000000"/>
          <w:sz w:val="22"/>
        </w:rPr>
        <w:t>means an ISO or Non</w:t>
        <w:noBreakHyphen/>
        <w:t>Qualified Option granted under the Plan.</w:t>
      </w:r>
    </w:p>
    <w:p>
      <w:pPr>
        <w:pStyle w:val="TextBody"/>
        <w:bidi w:val="0"/>
        <w:spacing w:before="0" w:after="240"/>
        <w:jc w:val="both"/>
        <w:rPr/>
      </w:pPr>
      <w:r>
        <w:rPr>
          <w:color w:val="000000"/>
        </w:rPr>
        <w:t>“</w:t>
      </w:r>
      <w:r>
        <w:rPr>
          <w:rFonts w:ascii="Times New Roman" w:hAnsi="Times New Roman"/>
          <w:b/>
          <w:color w:val="000000"/>
          <w:sz w:val="22"/>
        </w:rPr>
        <w:t>Participant</w:t>
      </w:r>
      <w:r>
        <w:rPr>
          <w:rFonts w:ascii="Times New Roman" w:hAnsi="Times New Roman"/>
          <w:color w:val="000000"/>
          <w:sz w:val="20"/>
        </w:rPr>
        <w:t xml:space="preserve">” </w:t>
      </w:r>
      <w:r>
        <w:rPr>
          <w:rFonts w:ascii="Times New Roman" w:hAnsi="Times New Roman"/>
          <w:color w:val="000000"/>
          <w:sz w:val="22"/>
        </w:rPr>
        <w:t>means an Employee, director or Consultant of the Company or an Affiliate to whom one or more Stock Rights are granted under the Plan.</w:t>
      </w:r>
      <w:r>
        <w:rPr>
          <w:rFonts w:ascii="Times New Roman" w:hAnsi="Times New Roman"/>
          <w:color w:val="000000"/>
          <w:sz w:val="20"/>
        </w:rPr>
        <w:t xml:space="preserve"> </w:t>
      </w:r>
      <w:r>
        <w:rPr>
          <w:rFonts w:ascii="Times New Roman" w:hAnsi="Times New Roman"/>
          <w:color w:val="000000"/>
          <w:sz w:val="22"/>
        </w:rPr>
        <w:t>As used herein, “Participant” shall include “Participant’s Survivors” where the context requires.</w:t>
      </w:r>
    </w:p>
    <w:p>
      <w:pPr>
        <w:pStyle w:val="TextBody"/>
        <w:bidi w:val="0"/>
        <w:spacing w:before="0" w:after="240"/>
        <w:jc w:val="both"/>
        <w:rPr/>
      </w:pPr>
      <w:r>
        <w:rPr>
          <w:color w:val="000000"/>
        </w:rPr>
        <w:t>“</w:t>
      </w:r>
      <w:r>
        <w:rPr>
          <w:rFonts w:ascii="Times New Roman" w:hAnsi="Times New Roman"/>
          <w:b/>
          <w:color w:val="000000"/>
          <w:sz w:val="22"/>
        </w:rPr>
        <w:t>Performance-Based Award</w:t>
      </w:r>
      <w:r>
        <w:rPr>
          <w:rFonts w:ascii="Times New Roman" w:hAnsi="Times New Roman"/>
          <w:color w:val="000000"/>
          <w:sz w:val="20"/>
        </w:rPr>
        <w:t xml:space="preserve">” </w:t>
      </w:r>
      <w:r>
        <w:rPr>
          <w:rFonts w:ascii="Times New Roman" w:hAnsi="Times New Roman"/>
          <w:color w:val="000000"/>
          <w:sz w:val="22"/>
        </w:rPr>
        <w:t>means a Stock Grant or Stock-Based Award which vests based on the attainment of written Performance Goals as set forth in Paragraph 9 hereof.</w:t>
      </w:r>
    </w:p>
    <w:p>
      <w:pPr>
        <w:pStyle w:val="TextBody"/>
        <w:bidi w:val="0"/>
        <w:spacing w:before="0" w:after="240"/>
        <w:jc w:val="both"/>
        <w:rPr/>
      </w:pPr>
      <w:r>
        <w:rPr>
          <w:color w:val="000000"/>
        </w:rPr>
        <w:t>“</w:t>
      </w:r>
      <w:r>
        <w:rPr>
          <w:rFonts w:ascii="Times New Roman" w:hAnsi="Times New Roman"/>
          <w:b/>
          <w:color w:val="000000"/>
          <w:sz w:val="22"/>
        </w:rPr>
        <w:t>Performance Goals</w:t>
      </w:r>
      <w:r>
        <w:rPr>
          <w:rFonts w:ascii="Times New Roman" w:hAnsi="Times New Roman"/>
          <w:color w:val="000000"/>
          <w:sz w:val="20"/>
        </w:rPr>
        <w:t xml:space="preserve">” </w:t>
      </w:r>
      <w:r>
        <w:rPr>
          <w:rFonts w:ascii="Times New Roman" w:hAnsi="Times New Roman"/>
          <w:color w:val="000000"/>
          <w:sz w:val="22"/>
        </w:rPr>
        <w:t>means performance goals determined by the Committee in its sole discretion and set forth in an Agreement. The satisfaction of Performance Goals shall be subject to certification by the Committee. The Committee has the authority to take appropriate action with respect to the Performance Goals (including, without limitation, making adjustments to the Performance Goals or determining the satisfaction of the Performance Goals in connection with a Corporate Transaction) provided that any such action does not otherwise violate the terms of the Plan.</w:t>
      </w:r>
    </w:p>
    <w:p>
      <w:pPr>
        <w:pStyle w:val="TextBody"/>
        <w:bidi w:val="0"/>
        <w:spacing w:before="0" w:after="240"/>
        <w:jc w:val="both"/>
        <w:rPr/>
      </w:pPr>
      <w:r>
        <w:rPr>
          <w:color w:val="000000"/>
        </w:rPr>
        <w:t>“</w:t>
      </w:r>
      <w:r>
        <w:rPr>
          <w:rFonts w:ascii="Times New Roman" w:hAnsi="Times New Roman"/>
          <w:b/>
          <w:color w:val="000000"/>
          <w:sz w:val="22"/>
        </w:rPr>
        <w:t>Plan</w:t>
      </w:r>
      <w:r>
        <w:rPr>
          <w:rFonts w:ascii="Times New Roman" w:hAnsi="Times New Roman"/>
          <w:color w:val="000000"/>
          <w:sz w:val="20"/>
        </w:rPr>
        <w:t xml:space="preserve">” </w:t>
      </w:r>
      <w:r>
        <w:rPr>
          <w:rFonts w:ascii="Times New Roman" w:hAnsi="Times New Roman"/>
          <w:color w:val="000000"/>
          <w:sz w:val="22"/>
        </w:rPr>
        <w:t>means this Synlogic, Inc.</w:t>
      </w:r>
      <w:r>
        <w:rPr>
          <w:rFonts w:ascii="Times New Roman" w:hAnsi="Times New Roman"/>
          <w:color w:val="000000"/>
          <w:sz w:val="20"/>
        </w:rPr>
        <w:t xml:space="preserve"> </w:t>
      </w:r>
      <w:r>
        <w:rPr>
          <w:rFonts w:ascii="Times New Roman" w:hAnsi="Times New Roman"/>
          <w:color w:val="000000"/>
          <w:sz w:val="22"/>
        </w:rPr>
        <w:t>2025</w:t>
      </w:r>
      <w:r>
        <w:rPr>
          <w:rFonts w:ascii="Times New Roman" w:hAnsi="Times New Roman"/>
          <w:color w:val="000000"/>
          <w:sz w:val="20"/>
        </w:rPr>
        <w:t xml:space="preserve"> </w:t>
      </w:r>
      <w:r>
        <w:rPr>
          <w:rFonts w:ascii="Times New Roman" w:hAnsi="Times New Roman"/>
          <w:color w:val="000000"/>
          <w:sz w:val="22"/>
        </w:rPr>
        <w:t>Equity Incentive Plan.</w:t>
      </w:r>
    </w:p>
    <w:p>
      <w:pPr>
        <w:pStyle w:val="TextBody"/>
        <w:bidi w:val="0"/>
        <w:spacing w:before="0" w:after="240"/>
        <w:jc w:val="both"/>
        <w:rPr/>
      </w:pPr>
      <w:r>
        <w:rPr>
          <w:color w:val="000000"/>
        </w:rPr>
        <w:t>“</w:t>
      </w:r>
      <w:r>
        <w:rPr>
          <w:rFonts w:ascii="Times New Roman" w:hAnsi="Times New Roman"/>
          <w:b/>
          <w:color w:val="000000"/>
          <w:sz w:val="22"/>
        </w:rPr>
        <w:t>SAR</w:t>
      </w:r>
      <w:r>
        <w:rPr>
          <w:rFonts w:ascii="Times New Roman" w:hAnsi="Times New Roman"/>
          <w:color w:val="000000"/>
          <w:sz w:val="20"/>
        </w:rPr>
        <w:t xml:space="preserve">” </w:t>
      </w:r>
      <w:r>
        <w:rPr>
          <w:rFonts w:ascii="Times New Roman" w:hAnsi="Times New Roman"/>
          <w:color w:val="000000"/>
          <w:sz w:val="22"/>
        </w:rPr>
        <w:t>means a stock appreciation right.</w:t>
      </w:r>
    </w:p>
    <w:p>
      <w:pPr>
        <w:pStyle w:val="TextBody"/>
        <w:bidi w:val="0"/>
        <w:spacing w:before="0" w:after="240"/>
        <w:jc w:val="both"/>
        <w:rPr/>
      </w:pPr>
      <w:r>
        <w:rPr>
          <w:color w:val="000000"/>
        </w:rPr>
        <w:t>“</w:t>
      </w:r>
      <w:r>
        <w:rPr>
          <w:rFonts w:ascii="Times New Roman" w:hAnsi="Times New Roman"/>
          <w:b/>
          <w:color w:val="000000"/>
          <w:sz w:val="22"/>
        </w:rPr>
        <w:t>Section 409A</w:t>
      </w:r>
      <w:r>
        <w:rPr>
          <w:rFonts w:ascii="Times New Roman" w:hAnsi="Times New Roman"/>
          <w:color w:val="000000"/>
          <w:sz w:val="20"/>
        </w:rPr>
        <w:t xml:space="preserve">” </w:t>
      </w:r>
      <w:r>
        <w:rPr>
          <w:rFonts w:ascii="Times New Roman" w:hAnsi="Times New Roman"/>
          <w:color w:val="000000"/>
          <w:sz w:val="22"/>
        </w:rPr>
        <w:t>means Section 409A of the Code.</w:t>
      </w:r>
    </w:p>
    <w:p>
      <w:pPr>
        <w:pStyle w:val="TextBody"/>
        <w:bidi w:val="0"/>
        <w:spacing w:before="0" w:after="240"/>
        <w:jc w:val="both"/>
        <w:rPr/>
      </w:pPr>
      <w:r>
        <w:rPr>
          <w:color w:val="000000"/>
        </w:rPr>
        <w:t>“</w:t>
      </w:r>
      <w:r>
        <w:rPr>
          <w:rFonts w:ascii="Times New Roman" w:hAnsi="Times New Roman"/>
          <w:b/>
          <w:color w:val="000000"/>
          <w:sz w:val="22"/>
        </w:rPr>
        <w:t>Section 422</w:t>
      </w:r>
      <w:r>
        <w:rPr>
          <w:rFonts w:ascii="Times New Roman" w:hAnsi="Times New Roman"/>
          <w:color w:val="000000"/>
          <w:sz w:val="20"/>
        </w:rPr>
        <w:t xml:space="preserve">” </w:t>
      </w:r>
      <w:r>
        <w:rPr>
          <w:rFonts w:ascii="Times New Roman" w:hAnsi="Times New Roman"/>
          <w:color w:val="000000"/>
          <w:sz w:val="22"/>
        </w:rPr>
        <w:t>means Section 422 of the Code.</w:t>
      </w:r>
    </w:p>
    <w:p>
      <w:pPr>
        <w:pStyle w:val="TextBody"/>
        <w:bidi w:val="0"/>
        <w:spacing w:before="0" w:after="240"/>
        <w:jc w:val="both"/>
        <w:rPr/>
      </w:pPr>
      <w:r>
        <w:rPr>
          <w:color w:val="000000"/>
        </w:rPr>
        <w:t>“</w:t>
      </w:r>
      <w:r>
        <w:rPr>
          <w:rFonts w:ascii="Times New Roman" w:hAnsi="Times New Roman"/>
          <w:b/>
          <w:color w:val="000000"/>
          <w:sz w:val="22"/>
        </w:rPr>
        <w:t>Securities Act</w:t>
      </w:r>
      <w:r>
        <w:rPr>
          <w:rFonts w:ascii="Times New Roman" w:hAnsi="Times New Roman"/>
          <w:color w:val="000000"/>
          <w:sz w:val="20"/>
        </w:rPr>
        <w:t xml:space="preserve">” </w:t>
      </w:r>
      <w:r>
        <w:rPr>
          <w:rFonts w:ascii="Times New Roman" w:hAnsi="Times New Roman"/>
          <w:color w:val="000000"/>
          <w:sz w:val="22"/>
        </w:rPr>
        <w:t>means the United States Securities Act of 1933, as amended.</w:t>
      </w:r>
    </w:p>
    <w:p>
      <w:pPr>
        <w:pStyle w:val="TextBody"/>
        <w:bidi w:val="0"/>
        <w:spacing w:before="0" w:after="240"/>
        <w:jc w:val="both"/>
        <w:rPr/>
      </w:pPr>
      <w:r>
        <w:rPr>
          <w:color w:val="000000"/>
        </w:rPr>
        <w:t>“</w:t>
      </w:r>
      <w:r>
        <w:rPr>
          <w:rFonts w:ascii="Times New Roman" w:hAnsi="Times New Roman"/>
          <w:b/>
          <w:color w:val="000000"/>
          <w:sz w:val="22"/>
        </w:rPr>
        <w:t>Shares</w:t>
      </w:r>
      <w:r>
        <w:rPr>
          <w:rFonts w:ascii="Times New Roman" w:hAnsi="Times New Roman"/>
          <w:color w:val="000000"/>
          <w:sz w:val="20"/>
        </w:rPr>
        <w:t xml:space="preserve">” </w:t>
      </w:r>
      <w:r>
        <w:rPr>
          <w:rFonts w:ascii="Times New Roman" w:hAnsi="Times New Roman"/>
          <w:color w:val="000000"/>
          <w:sz w:val="22"/>
        </w:rPr>
        <w:t>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pStyle w:val="TextBody"/>
        <w:bidi w:val="0"/>
        <w:spacing w:before="0" w:after="240"/>
        <w:jc w:val="both"/>
        <w:rPr/>
      </w:pPr>
      <w:r>
        <w:rPr>
          <w:color w:val="000000"/>
        </w:rPr>
        <w:t>“</w:t>
      </w:r>
      <w:r>
        <w:rPr>
          <w:rFonts w:ascii="Times New Roman" w:hAnsi="Times New Roman"/>
          <w:b/>
          <w:color w:val="000000"/>
          <w:sz w:val="22"/>
        </w:rPr>
        <w:t>Stock-Based Award</w:t>
      </w:r>
      <w:r>
        <w:rPr>
          <w:rFonts w:ascii="Times New Roman" w:hAnsi="Times New Roman"/>
          <w:color w:val="000000"/>
          <w:sz w:val="20"/>
        </w:rPr>
        <w:t xml:space="preserve">” </w:t>
      </w:r>
      <w:r>
        <w:rPr>
          <w:rFonts w:ascii="Times New Roman" w:hAnsi="Times New Roman"/>
          <w:color w:val="000000"/>
          <w:sz w:val="22"/>
        </w:rPr>
        <w:t>means a grant by the Company under the Plan of an equity award or an equity-based award, which is not an Option, or a Stock Grant.</w:t>
      </w:r>
    </w:p>
    <w:p>
      <w:pPr>
        <w:pStyle w:val="TextBody"/>
        <w:bidi w:val="0"/>
        <w:spacing w:before="0" w:after="240"/>
        <w:jc w:val="both"/>
        <w:rPr/>
      </w:pPr>
      <w:r>
        <w:rPr>
          <w:color w:val="000000"/>
        </w:rPr>
        <w:t>“</w:t>
      </w:r>
      <w:r>
        <w:rPr>
          <w:rFonts w:ascii="Times New Roman" w:hAnsi="Times New Roman"/>
          <w:b/>
          <w:color w:val="000000"/>
          <w:sz w:val="22"/>
        </w:rPr>
        <w:t>Stock Grant</w:t>
      </w:r>
      <w:r>
        <w:rPr>
          <w:rFonts w:ascii="Times New Roman" w:hAnsi="Times New Roman"/>
          <w:color w:val="000000"/>
          <w:sz w:val="20"/>
        </w:rPr>
        <w:t xml:space="preserve">” </w:t>
      </w:r>
      <w:r>
        <w:rPr>
          <w:rFonts w:ascii="Times New Roman" w:hAnsi="Times New Roman"/>
          <w:color w:val="000000"/>
          <w:sz w:val="22"/>
        </w:rPr>
        <w:t>means a grant by the Company of Shares under the Plan.</w:t>
      </w:r>
    </w:p>
    <w:p>
      <w:pPr>
        <w:pStyle w:val="TextBody"/>
        <w:bidi w:val="0"/>
        <w:spacing w:before="0" w:after="240"/>
        <w:jc w:val="both"/>
        <w:rPr/>
      </w:pPr>
      <w:r>
        <w:rPr>
          <w:color w:val="000000"/>
        </w:rPr>
        <w:t>“</w:t>
      </w:r>
      <w:r>
        <w:rPr>
          <w:rFonts w:ascii="Times New Roman" w:hAnsi="Times New Roman"/>
          <w:b/>
          <w:color w:val="000000"/>
          <w:sz w:val="22"/>
        </w:rPr>
        <w:t>Stock Right</w:t>
      </w:r>
      <w:r>
        <w:rPr>
          <w:rFonts w:ascii="Times New Roman" w:hAnsi="Times New Roman"/>
          <w:color w:val="000000"/>
          <w:sz w:val="20"/>
        </w:rPr>
        <w:t xml:space="preserve">” </w:t>
      </w:r>
      <w:r>
        <w:rPr>
          <w:rFonts w:ascii="Times New Roman" w:hAnsi="Times New Roman"/>
          <w:color w:val="000000"/>
          <w:sz w:val="22"/>
        </w:rPr>
        <w:t>means an ISO, a Non-Qualified Option, a Stock Grant or a Stock-Based Award or a right to Shares or the value of Shares of the Company granted pursuant to the Plan.</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rPr>
        <w:t>Substitute Award</w:t>
      </w:r>
      <w:r>
        <w:rPr>
          <w:rFonts w:ascii="Times New Roman" w:hAnsi="Times New Roman"/>
          <w:color w:val="000000"/>
          <w:sz w:val="20"/>
        </w:rPr>
        <w:t xml:space="preserve">” </w:t>
      </w:r>
      <w:r>
        <w:rPr>
          <w:rFonts w:ascii="Times New Roman" w:hAnsi="Times New Roman"/>
          <w:color w:val="000000"/>
          <w:sz w:val="22"/>
        </w:rPr>
        <w:t>means an award issued under the Plan in substitution for one or more equity awards of an acquired company that are converted, replaced or adjusted in connection with the acquisition.</w:t>
      </w:r>
    </w:p>
    <w:p>
      <w:pPr>
        <w:pStyle w:val="TextBody"/>
        <w:bidi w:val="0"/>
        <w:spacing w:before="0" w:after="240"/>
        <w:jc w:val="both"/>
        <w:rPr/>
      </w:pPr>
      <w:r>
        <w:rPr>
          <w:color w:val="000000"/>
        </w:rPr>
        <w:t>“</w:t>
      </w:r>
      <w:r>
        <w:rPr>
          <w:rFonts w:ascii="Times New Roman" w:hAnsi="Times New Roman"/>
          <w:b/>
          <w:color w:val="000000"/>
          <w:sz w:val="22"/>
        </w:rPr>
        <w:t>Survivor</w:t>
      </w:r>
      <w:r>
        <w:rPr>
          <w:rFonts w:ascii="Times New Roman" w:hAnsi="Times New Roman"/>
          <w:color w:val="000000"/>
          <w:sz w:val="20"/>
        </w:rPr>
        <w:t xml:space="preserve">” </w:t>
      </w:r>
      <w:r>
        <w:rPr>
          <w:rFonts w:ascii="Times New Roman" w:hAnsi="Times New Roman"/>
          <w:color w:val="000000"/>
          <w:sz w:val="22"/>
        </w:rPr>
        <w:t>means a deceased Participant’s legal representatives and/or any person or persons who acquired the Participant’s rights to a Stock Right by will or by the laws of descent and distribution.</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2.</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PURPOSES OF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w:t>
        <w:noBreakHyphen/>
        <w:t>Qualified Options, Stock Grants and Stock-Based Awards.</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3.</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SHARES SUBJECT TO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number of Shares which may be issued from time to time pursuant to this Plan shall be the sum of: (i) 1,000,000 shares of Common Stock and (ii) any shares of Common Stock that are attributable to awards granted under the Company’s 2015 Equity Incentive Award Plan that are forfeited, expire or are cancelled without delivery of shares of Common Stock or which result in the forfeiture of shares of Common Stock back to the Company on or after December 15, 2025, or the equivalent of such number of Shares after the Administrator, in its sole discretion, has interpreted the effect of any stock split, stock dividend, combination, recapitalization or similar transaction in accordance with Paragraph 25 of this Plan, all of which Shares are eligible to be issued as ISOs; provided, however, that no more than 332,468 Shares shall be added to the Plan pursuant to subsection (ii).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Subparagraph (a) above, on the first day of each fiscal year of the Company during the period beginning in fiscal year 2026, and ending on the second day of fiscal year 2035, the number of Shares that may be issued from time to time pursuant to the Plan, shall be increased by an amount equal to the lesser of (i) 4% of the number of outstanding shares of Common Stock on such date and (ii) an amount determined by the Administrator.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provided, however, that the number of Shares underlying any awards under the Plan that are retained or repurchased on the exercise of an Option or the vesting or issuance of any Stock Right to cover the exercise price and/or tax withholding required by the Company in connection with vesting shall not be added back to the Shares available for issuance under the Plan; and provided, further that, in the case of ISOs, the foregoing provisions shall be subject to any limitations under the Code. In addition, any Shares repurchased using exercise price proceeds will not be available for issuance under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maximum number of Shares available for grant under the Plan as ISOs will be 50,000,000. The limits set forth in this Paragraph 3 will be construed to comply with the applicable requirements of Section 422.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Administrator may grant Substitute Awards under the Plan. To the extent consistent with the requirements of Section 422 and the regulations thereunder and other applicable legal requirements (including applicable stock exchange requirements), Shares issued in respect of Substitute Awards will be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to and will not reduce the shares available under the Plan. Notwithstanding the foregoing, if any Substitute Award is settled in cash or expires, becomes unexercisable, terminates or is forfeited to or repurchased by the Company without the issuance or retention of Shares, the Shares previously subject to such award will not be available for future issuance under the Plan. The Administrator will determine the extent to which the terms and conditions of the Plan apply to Substitute Awards, if at all; provided, however, that Substitute Awards will not be subject to the limits described in Paragraph 4(c) below.</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4.</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ADMINISTRATION OF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Interpret the provisions of the Plan and all Stock Rights and to make all rules and determinations which it deems necessary or advisable for the administration of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Determine which Employees, directors and Consultants shall be granted Stock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Determine the number of Shares for which a Stock Right or Stock Rights shall be granted; provided, however, that in no event shall the aggregate grant date fair value (determined in accordance with ASC 718) of Stock Rights to be granted and other cash compensation paid to any non-employee director in any calendar year, exceed $750,000, increased to $1,000,000 in the year in which such non-employee director initially joins the Board of Directors;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Specify the terms and conditions upon which a Stock Right or Stock Rights may be granted provided that no dividends or dividend equivalents shall be paid on any Stock Right prior to the vesting of the underlying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Amend any term or condition of any outstanding Stock Right, provided that (i) such term or condition as amended is not prohibited by the Plan; and (ii) any such amendment shall not impair the rights of a Participant under any Stock Right previously granted without such Participant’s consent or in the event of death of the Participant the Participant’s Survivors;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Determine and make any adjustments in the Performance Goals included in any Performance-Based Awards;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the foregoing, the interpretation and construction by the Administrator of any provisions of the Plan or of any Stock Right granted thereunder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pStyle w:val="TextBody"/>
        <w:bidi w:val="0"/>
        <w:spacing w:before="0" w:after="240"/>
        <w:jc w:val="both"/>
        <w:rPr>
          <w:rFonts w:ascii="Times New Roman" w:hAnsi="Times New Roman"/>
          <w:sz w:val="20"/>
        </w:rPr>
      </w:pPr>
      <w:r>
        <w:rPr>
          <w:rFonts w:ascii="Times New Roman" w:hAnsi="Times New Roman"/>
          <w:color w:val="000000"/>
          <w:sz w:val="22"/>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5.</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ELIGIBILITY FOR PARTICIPATION.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in anticipation of such person becoming an Employee, director or Consultant of the Company or of an Affiliate; provided, that the actual grant of such Stock Right shall be conditioned upon such person becoming eligible to become a Participant at or prior to the time of the execution of the Agreement evidencing such Stock Right. ISOs may be granted only to Employees. Non</w:t>
        <w:noBreakHyphen/>
        <w:t>Qualified Options, Stock Grants and Stock-Based Awards may be granted to any Employee, director or Consultant of the Company or an Affiliate. The granting of any Stock Right to any individual shall neither entitle that individual to, nor disqualify that individual from, participation in any other grant of Stock Rights or any grant under any other benefit plan established by the Company or any Affiliate for Employees, directors or Consultants.</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6.</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TERMS AND CONDITIONS OF OPTIONS.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Option shall be set forth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Non</w:t>
        <w:noBreakHyphen/>
        <w:t>Qualified Options</w:t>
      </w:r>
      <w:r>
        <w:rPr>
          <w:rFonts w:ascii="Times New Roman" w:hAnsi="Times New Roman"/>
          <w:color w:val="000000"/>
          <w:sz w:val="22"/>
        </w:rPr>
        <w:t>. Each Option intended to be a Non</w:t>
        <w:noBreakHyphen/>
        <w:t>Qualified Option shall be subject to the terms and conditions which the Administrator determines to be appropriate and in the best interest of the Company, subject to the following minimum standards for any such Non</w:t>
        <w:noBreakHyphen/>
        <w:t>Qualified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Exercise Price</w:t>
      </w:r>
      <w:r>
        <w:rPr>
          <w:rFonts w:ascii="Times New Roman" w:hAnsi="Times New Roman"/>
          <w:color w:val="000000"/>
          <w:sz w:val="22"/>
        </w:rPr>
        <w:t>. Each Option Agreement shall state the exercise price (per share) of the Shares covered by each Option, which exercise price shall be determined by the Administrator and shall be at least equal to the Fair Market Value per share of the Common Stock on the date of grant of the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u w:val="single"/>
        </w:rPr>
        <w:t>Number of Shares</w:t>
      </w:r>
      <w:r>
        <w:rPr>
          <w:rFonts w:ascii="Times New Roman" w:hAnsi="Times New Roman"/>
          <w:color w:val="000000"/>
          <w:sz w:val="22"/>
        </w:rPr>
        <w:t>. Each Option Agreement shall state the number of Shares to which it pertains.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u w:val="single"/>
        </w:rPr>
        <w:t>Vesting</w:t>
      </w:r>
      <w:r>
        <w:rPr>
          <w:rFonts w:ascii="Times New Roman" w:hAnsi="Times New Roman"/>
          <w:color w:val="000000"/>
          <w:sz w:val="22"/>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performance conditions or the attainment of stated goals or events.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color w:val="000000"/>
          <w:sz w:val="22"/>
          <w:u w:val="single"/>
        </w:rPr>
        <w:t>Additional Conditions</w:t>
      </w:r>
      <w:r>
        <w:rPr>
          <w:rFonts w:ascii="Times New Roman" w:hAnsi="Times New Roman"/>
          <w:color w:val="000000"/>
          <w:sz w:val="22"/>
        </w:rPr>
        <w:t>. Exercise of any Option may be conditioned upon the Participant’s execution of a shareholders agreement in a form satisfactory to the Administrator providing for certain protections for the Company and its other shareholders, including requirements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Participant’s or the Participant’s Survivors’ right to sell or transfer the Shares may be restricted; and</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Participant or the Participant’s Survivors may be required to execute letters of investment intent and must also acknowledge that the Shares will bear legends noting any applicable restrictions.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color w:val="000000"/>
          <w:sz w:val="22"/>
          <w:u w:val="single"/>
        </w:rPr>
        <w:t>Term of Option</w:t>
      </w:r>
      <w:r>
        <w:rPr>
          <w:rFonts w:ascii="Times New Roman" w:hAnsi="Times New Roman"/>
          <w:color w:val="000000"/>
          <w:sz w:val="22"/>
        </w:rPr>
        <w:t>. Each Option shall terminate not more than ten years from the date of the grant or at such earlier time as the Option Agreement may provide.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ISOs</w:t>
      </w:r>
      <w:r>
        <w:rPr>
          <w:rFonts w:ascii="Times New Roman" w:hAnsi="Times New Roman"/>
          <w:color w:val="000000"/>
          <w:sz w:val="22"/>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and relevant regulations and rulings of the Internal Revenue Service: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Minimum Standards</w:t>
      </w:r>
      <w:r>
        <w:rPr>
          <w:rFonts w:ascii="Times New Roman" w:hAnsi="Times New Roman"/>
          <w:color w:val="000000"/>
          <w:sz w:val="22"/>
        </w:rPr>
        <w:t>. The ISO shall meet the minimum standards required of Non</w:t>
        <w:noBreakHyphen/>
        <w:t>Qualified Options, as described in Paragraph 6(a) above, except clause (i) and (v)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u w:val="single"/>
        </w:rPr>
        <w:t>Exercise Price</w:t>
      </w:r>
      <w:r>
        <w:rPr>
          <w:rFonts w:ascii="Times New Roman" w:hAnsi="Times New Roman"/>
          <w:color w:val="000000"/>
          <w:sz w:val="22"/>
        </w:rPr>
        <w:t>. Immediately before the ISO is granted, if the Participant owns, directly or by reason of the applicable attribution rules in Section 424(d)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10% </w:t>
      </w:r>
      <w:r>
        <w:rPr>
          <w:rFonts w:ascii="Times New Roman" w:hAnsi="Times New Roman"/>
          <w:i/>
          <w:color w:val="000000"/>
          <w:sz w:val="22"/>
        </w:rPr>
        <w:t>or less</w:t>
      </w:r>
      <w:r>
        <w:rPr>
          <w:color w:val="000000"/>
        </w:rPr>
        <w:t xml:space="preserve"> </w:t>
      </w:r>
      <w:r>
        <w:rPr>
          <w:rFonts w:ascii="Times New Roman" w:hAnsi="Times New Roman"/>
          <w:color w:val="000000"/>
          <w:sz w:val="22"/>
        </w:rPr>
        <w:t>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u w:val="single"/>
        </w:rPr>
        <w:t>Term of Option</w:t>
      </w:r>
      <w:r>
        <w:rPr>
          <w:rFonts w:ascii="Times New Roman" w:hAnsi="Times New Roman"/>
          <w:color w:val="000000"/>
          <w:sz w:val="22"/>
        </w:rPr>
        <w:t>. For Participants who own: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10% </w:t>
      </w:r>
      <w:r>
        <w:rPr>
          <w:rFonts w:ascii="Times New Roman" w:hAnsi="Times New Roman"/>
          <w:color w:val="000000"/>
          <w:sz w:val="22"/>
          <w:u w:val="single"/>
        </w:rPr>
        <w:t>or less</w:t>
      </w:r>
      <w:r>
        <w:rPr>
          <w:color w:val="000000"/>
        </w:rPr>
        <w:t xml:space="preserve"> </w:t>
      </w:r>
      <w:r>
        <w:rPr>
          <w:rFonts w:ascii="Times New Roman" w:hAnsi="Times New Roman"/>
          <w:color w:val="000000"/>
          <w:sz w:val="22"/>
        </w:rPr>
        <w:t>of the total combined voting power of all classes of stock of the Company or an Affiliate, each ISO shall terminate not more than ten years from the date of the grant or at such earlier time as the Option Agreement may provide;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More than 10% of the total combined voting power of all classes of stock of the Company or an Affiliate, each ISO shall terminate not more than five years from the date of the grant or at such earlier time as the Option Agreement may provide.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color w:val="000000"/>
          <w:sz w:val="22"/>
          <w:u w:val="single"/>
        </w:rPr>
        <w:t>Limitation on Yearly Exercise</w:t>
      </w:r>
      <w:r>
        <w:rPr>
          <w:rFonts w:ascii="Times New Roman" w:hAnsi="Times New Roman"/>
          <w:color w:val="000000"/>
          <w:sz w:val="22"/>
        </w:rPr>
        <w:t>. To the extent that aggregate Fair Market Value (determined on the date each ISO is granted) of the Shares with respect to which ISOs are exercisable for the first time by the Participant in any calendar year exceeds $100,000, such Options shall be treated as Non-Qualified Options even if denominated ISOs at grant.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Except in connection with a corporate transaction involving the Company (which term includes, without limitation, any stock dividend, stock split, extraordinary cash dividend, recapitalization, reorganization, merger, consolidation, split-up, spin-off, combination or exchange of shares) or as otherwise contemplated by Paragraph 24 below, the Company may not, without obtaining stockholder approval, (i) amend the terms of outstanding Options to reduce the exercise price of such Options, (ii) cancel outstanding Options in exchange for Options that have an exercise price that is less than the exercise price value of the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original Options, or (iii) cancel outstanding Options that have an exercise price greater than the Fair Market Value of a Share on the date of such cancellation in exchange for cash or other consideration.</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7.</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TERMS AND CONDITIONS OF STOCK GRANTS.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Agreement shall state the purchase price per share, if any, of the Shares covered by each Stock Grant, which purchase price shall be determined by the Administrator, but shall not be less than the minimum consideration required by the Delaware General Corporation Law, on the date of the grant of the Stock Grant;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Agreement shall state the number of Shares to which the Stock Grant pertains;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Agreement shall include the terms of any right of the Company to restrict or reacquire the Shares subject to the Stock Grant, including the time period or attainment of Performance Goals or such other performance criteria upon which such rights shall accrue and the purchase price therefor, if any;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Dividends (other than stock dividends to be issued pursuant to Paragraph 25 of the Plan) may accrue but shall not be paid prior to the time, and may be paid only to the extent that the restrictions or rights to reacquire the Shares subject to the Stock Grant lapse. Any entitlement to dividend equivalents or similar entitlements will be established and administered either consistent with an exemption from, or in compliance with the applicable requirements of Section 409A.</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8.</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TERMS AND CONDITIONS OF OTHER STOCK-BASED AWARDS.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Administrator shall have the right to grant other Stock-Based Awards based upon the Common Stock having such terms and conditions as the Administrator may determine, including, without limitation, the grant of Shares based upon certain conditions, the grant of securities convertible into Shares and the grant of SARs, phantom stock awards or restricted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Each Agreement shall include the terms of any right of the Company including the right to terminate the Stock-Based Award without the issuance of Shares, the terms of any vesting conditions, Performance Goals or events upon which Shares shall be issued, provided that dividends (other than stock dividends to be issued pursuant to Paragraph 25 of the Plan) or dividend equivalents may accrue but shall not be paid prior to and may be paid only to the extent that the Shares subject to the Stock-Based Award vest. Under no circumstances may an Agreement covering SARs (a) have an exercise or base price (per share) that is less than the Fair Market Value per share of Common Stock on the date of grant or (b) expire more than ten years following the date of grant.</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9.</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PERFORMANCE-BASED AWARDS.</w:t>
      </w:r>
    </w:p>
    <w:p>
      <w:pPr>
        <w:pStyle w:val="TextBody"/>
        <w:bidi w:val="0"/>
        <w:spacing w:before="0" w:after="240"/>
        <w:jc w:val="both"/>
        <w:rPr>
          <w:rFonts w:ascii="Times New Roman" w:hAnsi="Times New Roman"/>
          <w:sz w:val="20"/>
        </w:rPr>
      </w:pPr>
      <w:r>
        <w:rPr>
          <w:rFonts w:ascii="Times New Roman" w:hAnsi="Times New Roman"/>
          <w:color w:val="000000"/>
          <w:sz w:val="22"/>
        </w:rPr>
        <w:t>The Committee shall determine whether, with respect to a performance period, the applicable Performance Goals have been met with respect to a given Participant and, if they have, to so certify and ascertain the amount of the applicable Performance-Based Award. No Performance-Based Awards will be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issued for such performance period until such certification is made by the Committee. The number of Shares issued in respect of a Performance-Based Award determined by the Committee for a performance period shall be paid to the Participant at such time as determined by the Committee in its sole discretion after the end of such performance period, and any dividends (other than stock dividends to be issued pursuant to Paragraph 25 of the Plan) or dividend equivalents that accrue shall only be paid in respect of the number of Shares earned in respect of such Performance-Based Award.</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10.</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EXERCISE OF OPTIONS AND ISSUE OF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through (d) above, or (f) at the discretion of the Administrator, by payment of such other lawful consideration as the Administrator may determine. Notwithstanding the foregoing, the Administrator shall accept only such payment on exercise of an ISO as is permitted by Section 422.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that requires the Company to take any action with respect to the Shares prior to their issuance. The Shares shall, upon delivery, be fully paid, non-assessable Shares.</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11.</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PAYMENT IN CONNECTION WITH THE ISSUANCE OF STOCK GRANTS AND STOCK-BASED AWARDS AND ISSUE OF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 treatment) and having a Fair Market Value equal as of the date of payment to the purchase price of the Stock Grant or Stock-Based Award; or (c) by delivery of a promissory note, if the Board of Directors has expressly authorized the loan of funds to the Participant for the purpose of enabling or assisting the Participant to effect such purchase; (d) at the discretion of the Administrator, by any combination of (a) through (c) above; or (e) at the discretion of the Administrator, by payment of such other lawful consideration as the Administrator may determine.</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which requires the Company to take any action with respect to the Shares prior to their issuance.</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12.</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RIGHTS AS A SHAREHOLDER.</w:t>
      </w:r>
    </w:p>
    <w:p>
      <w:pPr>
        <w:pStyle w:val="TextBody"/>
        <w:bidi w:val="0"/>
        <w:spacing w:before="0" w:after="240"/>
        <w:jc w:val="both"/>
        <w:rPr>
          <w:rFonts w:ascii="Times New Roman" w:hAnsi="Times New Roman"/>
          <w:sz w:val="20"/>
        </w:rPr>
      </w:pPr>
      <w:r>
        <w:rPr>
          <w:rFonts w:ascii="Times New Roman" w:hAnsi="Times New Roman"/>
          <w:color w:val="000000"/>
          <w:sz w:val="22"/>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 In addition, at the discretion of the Administrator, the Company shall have received an opinion of its counsel that the Shares may be issued in compliance with the Securities Act without registration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13.</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ASSIGNABILITY AND TRANSFERABILITY OF STOCK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14.</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EFFECT ON OPTIONS OF TERMINATION OF SERVICE OTHER THAN FOR CAUSE OR DEATH OR DISABILITY.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otherwise provided in a Participant’s Option Agreement, in the event of a termination of service (whether as an Employee, director or Consultant) with the Company or an Affiliate before the Participant has exercised an Option, the following rules apply: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Participant who ceases to be an Employee, director or Consultant of the Company or of an Affiliate (for any reason other than termination for Cause, Disability, or death for which events there are special rules in Paragraphs 15, 16, and 17, respectively), may exercise any Option granted to such Participant to the extent that the Option is exercisable on the date of such termination of service, but only within such term as the Administrator has designated in a Participant’s Option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provided in Subparagraph (c) below, or Paragraph 16 or 17, in no event may an Option intended to be an ISO, be exercised later than three months after the Participant’s termination of employment.</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provisions of this Paragraph, and not the provisions of Paragraph 16 or 17,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but in no event after the date of expiration of the term of the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three months, unless pursuant to a contract or statute that guarantees the right to reemployment, shall cause such ISO to become a Non-Qualified Option on the date that is six months following the commencement of such leave of absence.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15.</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EFFECT ON OPTIONS OF TERMINATION OF SERVICE FOR CAUSE.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outstanding and unexercised Options as of the time the Participant is notified his or her service is terminated for Cause will immediately be forfeited.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16.</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EFFECT ON OPTIONS OF TERMINATION OF SERVICE FOR DISABILITY.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otherwise provided in a Participant’s Option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Participant who ceases to be an Employee, director or Consultant of the Company or of an Affiliate by reason of Disability may exercise any Option granted to such Participant to the extent that the Option has become exercisable but has not been exercised on the date of the Participant’s termination of service due to Disability; and in the event rights to exercise the Option accrue periodically, to the extent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17.</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EFFECT ON OPTIONS OF DEATH WHILE AN EMPLOYEE, DIRECTOR OR CONSULTANT.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otherwise provided in a Participant’s Option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of the death of a Participant while the Participant is an Employee, director or Consultant of the Company or of an Affiliate, such Option may be exercised by the Participant’s Survivors to the extent that the Option has become exercisable but has not been exercised on the date of death; and 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18.</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EFFECT OF TERMINATION OF SERVICE ON UNACCEPTED STOCK GRANTS AND STOCK-BASED AWARDS.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this Paragraph 18 and Paragraph 19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for purposes of this Paragraph 18 and Paragraph 19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19.</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EFFECT ON STOCK GRANTS AND STOCK-BASED AWARDS OF TERMINATION OF SERVICE OTHER THAN FOR CAUSE, DEATh or DISABILITY.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otherwise provided in a Participant’s Agreement, in the event of a termination of service for any reason (whether as an Employee, director or Consultant), other than termination for Cause, death or Disability for which there are special rules in Paragraphs 20, 21, and 22 below, before all forfeiture provisions or Company rights of repurchase shall have lapsed, then the Company shall have the right to cancel or repurchase that number of Shares subject to a Stock Grant or Stock-Based Award as to which the Company’s forfeiture or repurchase rights have not lapsed.</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20.</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EFFECT ON STOCK GRANTS AND STOCK-BASED AWARDS OF TERMINATION OF SERVICE FOR CAUSE.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otherwise provided in a Participant’s Agreement, the following rules apply if the Participant’s service (whether as an Employee, director or Consultant) with the Company or an Affiliate is terminated for Cause: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Shares subject to any Stock Grant or Stock-Based Award that remain subject to forfeiture provisions or as to which the Company shall have a repurchase right shall be immediately forfeited to the Company as of the time the Participant is notified his or her service is terminated for Cause.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or Stock-Based Award that remained subject to forfeiture provisions or as to which the Company had a repurchase right on the date of termination shall be immediately forfeited to the Company.</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21.</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EFFECT ON STOCK GRANTS AND STOCK-BASED AWARDS OF TERMINATION OF SERVICE FOR DISABILITY.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otherwise provided in a Participant’s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or Stock-Based Award through the date of Disability as would have lapsed had the Participant not become Disabled. The proration shall be based upon the number of days accrued prior to the date of Disability.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22.</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EFFECT ON STOCK GRANTS AND STOCK-BASED AWARDS OF DEATH WHILE AN EMPLOYEE, DIRECTOR OR CONSULTANT.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otherwise provided in a Participant’s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or Stock-Based Award through the date of death as would have lapsed had the Participant not died. The proration shall be based upon the number of days accrued prior to the Participant’s date of death.</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23.</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PURCHASE FOR INVESTMENT.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the offering and sale of the Shares shall have been effectively registered under the Securities Act, the Company shall be under no obligation to issue Shares under the Plan unless and until the following conditions have been fulfilled: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 of a Stock Right:</w:t>
      </w:r>
    </w:p>
    <w:p>
      <w:pPr>
        <w:pStyle w:val="TextBody"/>
        <w:bidi w:val="0"/>
        <w:spacing w:before="0" w:after="240"/>
        <w:jc w:val="both"/>
        <w:rPr>
          <w:color w:val="000000"/>
        </w:rPr>
      </w:pPr>
      <w:r>
        <w:rPr>
          <w:color w:val="000000"/>
        </w:rPr>
        <w:t>“</w:t>
      </w:r>
      <w:r>
        <w:rPr>
          <w:rFonts w:ascii="Times New Roman" w:hAnsi="Times New Roman"/>
          <w:color w:val="000000"/>
          <w:sz w:val="22"/>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24.</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DISSOLUTION OR LIQUIDATION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25.</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ADJUSTMENTS.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the occurrence of any of the following events, a Participant’s rights with respect to any Stock Right granted to such Participant hereunder shall be adjusted as hereinafter provided, unless otherwise specifically provided in a Participant’s Agreement.</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Stock Dividends and Stock Splits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If (1) the shares of Common Stock shall be subdivided or combined into a greater or smaller number of shares or if the Company shall issue any shares of Common Stock as a stock dividend on its outstanding Common Stock, or (2)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base or purchase price per share and in the Performance Goals applicable to outstanding Performance-Based Awards to reflect such events. The number of Shares subject to the limitations in Paragraphs 3(a), 3(b), 3(d) and 4(c)</w:t>
      </w:r>
      <w:r>
        <w:rPr>
          <w:color w:val="000000"/>
        </w:rPr>
        <w:t xml:space="preserve"> </w:t>
      </w:r>
      <w:r>
        <w:rPr>
          <w:rFonts w:ascii="Times New Roman" w:hAnsi="Times New Roman"/>
          <w:color w:val="000000"/>
          <w:sz w:val="22"/>
        </w:rPr>
        <w:t>shall also be proportionately adjusted upon the occurrence of such events.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Administrator may also make adjustments of the type described in Paragraph 25(a) above to take into account distributions to stockholders other than those provided for in Paragraphs 25(b) below, or any other event, if the Administrator determines that adjustments are appropriate to avoid distortion in the operation of the Plan or any award, having due regard for the qualification of ISOs under Section 422, the requirements of Section 409A, to the extent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References in the Plan to Shares will be construed to include any stock or securities resulting from an adjustment pursuant to this Paragraph 25(a).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Corporate Transactions</w:t>
      </w:r>
      <w:r>
        <w:rPr>
          <w:rFonts w:ascii="Times New Roman" w:hAnsi="Times New Roman"/>
          <w:color w:val="000000"/>
          <w:sz w:val="22"/>
        </w:rPr>
        <w:t>. Upon a Corporate Transaction, the Administrator or the board of directors of any entity assuming the obligations of the Company hereunder (the “</w:t>
      </w:r>
      <w:r>
        <w:rPr>
          <w:rFonts w:ascii="Times New Roman" w:hAnsi="Times New Roman"/>
          <w:b/>
          <w:color w:val="000000"/>
          <w:sz w:val="22"/>
        </w:rPr>
        <w:t>Successor Board</w:t>
      </w:r>
      <w:r>
        <w:rPr>
          <w:color w:val="000000"/>
        </w:rPr>
        <w:t>”</w:t>
      </w:r>
      <w:r>
        <w:rPr>
          <w:rFonts w:ascii="Times New Roman" w:hAnsi="Times New Roman"/>
          <w:color w:val="000000"/>
          <w:sz w:val="22"/>
        </w:rPr>
        <w:t>), may, as to outstanding Options, take any of the following actions: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w:t>
      </w:r>
      <w:r>
        <w:rPr>
          <w:rFonts w:ascii="Times New Roman" w:hAnsi="Times New Roman"/>
          <w:color w:val="000000"/>
          <w:sz w:val="15"/>
        </w:rPr>
        <w:t>/</w:t>
      </w:r>
      <w:r>
        <w:rPr>
          <w:color w:val="000000"/>
        </w:rPr>
        <w:t xml:space="preserve"> </w:t>
      </w:r>
      <w:r>
        <w:rPr>
          <w:rFonts w:ascii="Times New Roman" w:hAnsi="Times New Roman"/>
          <w:color w:val="000000"/>
          <w:sz w:val="22"/>
        </w:rPr>
        <w:t xml:space="preserve">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Times New Roman" w:hAnsi="Times New Roman"/>
          <w:color w:val="000000"/>
          <w:sz w:val="22"/>
          <w:u w:val="single"/>
        </w:rPr>
        <w:t>less the aggregate</w:t>
      </w:r>
      <w:r>
        <w:rPr>
          <w:color w:val="000000"/>
        </w:rPr>
        <w:t xml:space="preserve"> </w:t>
      </w:r>
      <w:r>
        <w:rPr>
          <w:rFonts w:ascii="Times New Roman" w:hAnsi="Times New Roman"/>
          <w:color w:val="000000"/>
          <w:sz w:val="22"/>
        </w:rPr>
        <w:t>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 For the avoidance of doubt, if the per share exercise price of an Option or portion thereof is equal to or greater than the Fair Market Value of one Share of Common Stock, such Option may be cancelled with no payment due hereunder or otherwise in respect thereof.</w:t>
      </w:r>
    </w:p>
    <w:p>
      <w:pPr>
        <w:pStyle w:val="TextBody"/>
        <w:bidi w:val="0"/>
        <w:spacing w:before="0" w:after="240"/>
        <w:jc w:val="both"/>
        <w:rPr>
          <w:rFonts w:ascii="Times New Roman" w:hAnsi="Times New Roman"/>
          <w:sz w:val="20"/>
        </w:rPr>
      </w:pPr>
      <w:r>
        <w:rPr>
          <w:rFonts w:ascii="Times New Roman" w:hAnsi="Times New Roman"/>
          <w:color w:val="000000"/>
          <w:sz w:val="22"/>
        </w:rPr>
        <w:t>With respect to outstanding Stock Grants or Stock-Based Awards, the Administrator or the Successor Board, shall make appropriate provision for the continuation of such Stock Grants or Stock-Based Awards on the same terms and conditions by substituting on an equitable basis for the Shares then subject to such Stock Grants or Stock-Based Awards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Grant or Stock-Based Award shall be terminated in exchange for payment of an amount equal to the consideration payable upon consummation of such Corporate Transaction to a holder of the number of shares of Common Stock comprising such Stock Grantor Stock-Based Award (to the extent such Stock Grant or Stock-Based Award is no longer subject to any forfeiture or repurchase rights then in effect or, at the discretion of the Administrator, all forfeiture and repurchase rights being waived). For the avoidance of doubt, if the purchase or base price of a Stock Grant or Stock-Based Award or portion thereof is equal to or greater than the Fair Market Value of one Share of Common Stock, such Stock Grant or Stock-Based Award, as applicable, may be cancelled with no payment due hereunder or otherwise in respect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taking any of the actions permitted under this Paragraph 25(b), the Administrator shall not be obligated by the Plan to treat all Stock Rights, all Stock Rights held by a Participant, or all Stock Rights of the same type, identically.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Stock Right may be subject to additional acceleration of vesting and exercisability upon or after a Change of Control as may be provided in the Agreement for such Stock Right, in any other written agreement between the Company or any Affiliate and the Participant or in any director compensation policy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Recapitalization or Reorganization</w:t>
      </w:r>
      <w:r>
        <w:rPr>
          <w:rFonts w:ascii="Times New Roman" w:hAnsi="Times New Roman"/>
          <w:color w:val="000000"/>
          <w:sz w:val="22"/>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Adjustments to Stock-Based Awards</w:t>
      </w:r>
      <w:r>
        <w:rPr>
          <w:rFonts w:ascii="Times New Roman" w:hAnsi="Times New Roman"/>
          <w:color w:val="000000"/>
          <w:sz w:val="22"/>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25, including, but not limited to the effect of any, Corporate Transaction and, subject to Paragraph 4, its determination shall be conclusive.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Termination of Awards upon Consummation of Corporate Transaction</w:t>
      </w:r>
      <w:r>
        <w:rPr>
          <w:rFonts w:ascii="Times New Roman" w:hAnsi="Times New Roman"/>
          <w:color w:val="000000"/>
          <w:sz w:val="22"/>
        </w:rPr>
        <w:t>. Except as the Administrator may otherwise determine, each Stock Right will automatically terminate (and in the case of outstanding Shares of restricted Common Stock, will automatically be forfeited) immediately upon the consummation of a Corporate Transaction, other than (i) any award that is assumed, continued or substituted pursuant to Paragraph 24(b) above, and (ii) any cash award that by its terms, or as a result of action taken by the Administrator, continues following the consummation of the Corporate Transaction.</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26.</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ISSUANCES OF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Company will not be obligated to issue any Shares pursuant to the Plan or to remove any restriction from Shares previously issued under the Plan until: (i) the Company is satisfied that all legal matters in connection with the issuance of such Shares have been addressed and resolved; (ii) if the outstanding Shares is at the time of issuance listed on any stock exchange or national market system, the </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Shares to be issued have been listed or authorized to be listed on such exchange or system upon official notice of issuance; and (iii) all conditions of the award have been satisfied or waived. The Company may require, as a condition to the exercise of an award or the issuance of Shares under an award, such representations or agreements as counsel for the Company may consider appropriate to avoid violation of the Securities Act, as amended, or any applicable state or non-U.S. securities law. Any Shares issued under the Plan will be evidenced in such manner as the Administrator determines appropriate, including book-entry registration or delivery of stock certificates. In the event that the Administrator determines that stock certificates will be issued in connection with Shares issued under the Plan, the Administrator may require that such certificates bear an appropriate legend reflecting any restriction on transfer applicable to such Stock, and the Company may hold the certificates pending the lapse of the applicable restrictions.</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27.</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FRACTIONAL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fractional shares shall be issued under the Plan and the person exercising a Stock Right shall receive from the Company cash in lieu of such fractional shares equal to the Fair Market Value thereof.</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28.</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WITHHOLDING.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that any federal, state, or local income taxes, employment taxes, Federal Insurance Contributions Act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required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If the Fair Market Value of the shares withheld is less than the amount of payroll withholdings required, the Participant may be required to advance the difference in cash to the Company or the Affiliate employer.</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29.</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TERMINATION OF THE PLAN.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Plan will terminate on November 10, 2035, the date which is ten years from the </w:t>
      </w:r>
      <w:r>
        <w:rPr>
          <w:rFonts w:ascii="Times New Roman" w:hAnsi="Times New Roman"/>
          <w:i/>
          <w:color w:val="000000"/>
          <w:sz w:val="22"/>
        </w:rPr>
        <w:t>earlier</w:t>
      </w:r>
      <w:r>
        <w:rPr>
          <w:rFonts w:ascii="Times New Roman" w:hAnsi="Times New Roman"/>
          <w:color w:val="000000"/>
          <w:sz w:val="20"/>
        </w:rPr>
        <w:t xml:space="preserve"> </w:t>
      </w:r>
      <w:r>
        <w:rPr>
          <w:rFonts w:ascii="Times New Roman" w:hAnsi="Times New Roman"/>
          <w:color w:val="000000"/>
          <w:sz w:val="22"/>
        </w:rPr>
        <w:t>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30.</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AMENDMENT OF THE PLAN AND AGREEMENTS.</w:t>
      </w:r>
    </w:p>
    <w:p>
      <w:pPr>
        <w:pStyle w:val="TextBody"/>
        <w:bidi w:val="0"/>
        <w:spacing w:before="0" w:after="240"/>
        <w:jc w:val="both"/>
        <w:rPr>
          <w:rFonts w:ascii="Times New Roman" w:hAnsi="Times New Roman"/>
          <w:sz w:val="20"/>
        </w:rPr>
      </w:pPr>
      <w:r>
        <w:rPr>
          <w:rFonts w:ascii="Times New Roman" w:hAnsi="Times New Roman"/>
          <w:color w:val="000000"/>
          <w:sz w:val="22"/>
        </w:rPr>
        <w:t>The Plan may be amended by the shareholders of the Company. The Plan may also be amended by the Administrator; provided that any amendment approved by the Administrator which the Administrator determines is of a scope that requires shareholder approval shall be subject to obtaining such shareholder approval including, without limitation, to the extent necessary to qualify any or all outstanding Stock Rights granted under the Plan or Stock Rights to be granted under the Plan for favorable federal income tax treatment as may be afforded ISOs under Section 422 and to the extent necessary to qualify the Shares issuable under the Plan for listing on any national securities exchange or quotation in any national automated quotation system of securities dealers. Any modification or amendment of the Plan shall not,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without the consent of a Participant, adversely affect his or her rights under a Stock Right previously granted to such Participant, unless such amendment is required by applicable law or necessary to preserve the economic value of such Stock Right. With the consent of the Participant affected, the Administrator may amend outstanding Agreements in a manner which may be adverse to such Participant but which is not inconsistent with the Plan. In the discretion of the Administrator, outstanding Agreements may be amended by the Administrator in a manner which is not adverse to the Participant. Nothing in this Paragraph 30 shall limit the Administrator’s authority to take any action permitted pursuant to Paragraph 25.</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31.</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EMPLOYMENT OR OTHER RELATIONSHIP.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32.</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SECTION 409A AND SECTION 422.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intends that the Plan and any Stock Rights granted hereunder be exempt from or comply with Section 409A, to the extent applicable. The Company intends that ISOs comply with Section 422, to the extent applicable. Any ambiguities in the Plan or any Stock Right shall be construed to effect the intent as described in this Paragraph 32.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 Participant is a “specified employee” as defined in Section 409A (and as applied according to procedures of the Company and its Affiliates) as of such Participant’s separation from service, to the extent any payment under this Plan or pursuant to a Stock Right constitutes non-exempt deferred compensation under Section 409A that is being paid by reason of the separation from service, no payments due under this Plan or pursuant to a Stock Right may be made until the earlier of: (i) the first day of the seventh month following the Participant’s separation from service, or (ii) the Participant’s date of death; provided, however, that any payments delayed during this six-month period shall be paid in the aggregate in a lump sum, without interest, on the first day of the seventh month following the Participant’s separation from service.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Administrator shall administer the Plan with a view toward ensuring that Stock Rights under the Plan that are subject to Section 409A or Section 422, as applicable comply with the requirements thereof and that Options under the Plan be exempt from the requirements of Section 409A or compliant with Section 422, as applicable, but neither the Administrator nor any member of the Board of Directors, nor the Company nor any of its Affiliates, nor any other person acting hereunder on behalf of the Company, the Administrator or the Board of Directors shall be liable to a Participant or any Survivor by reason of the acceleration of any income, or the imposition of any additional tax or penalty, with respect to a Stock Right, whether by reason of a failure to satisfy the requirements of Section 409A or Section 422 or otherwise.</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33.</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INDEMNITY.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Board of Directors nor the Administrator, nor any members of either, nor any employees of the Company or any parent, subsidiary, or other Affiliate, shall be liable for any act, omission, interpretation, construction or determination made in good faith in connection with their responsibilities with respect to this Plan, and the Company hereby agrees to indemnify the members of the Board or Directors, the members of the Committee, and the employees of the Company and its parent or subsidiaries in respect of any claim, loss, damage, or expense (including reasonable counsel fees) arising from any such act, omission, interpretation, construction or determination to the full extent permitted by law.</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34.</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CLAWBACK.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contained in this Plan, the Company may recover from a Participant any compensation received from any Stock Right (whether or not settled) or cause a Participant to forfeit any Stock Right (whether or not vested) in the event that the Company’s Clawback Policy as then in effect is triggered.</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35.</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GOVERNING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Plan shall be construed and enforced in accordance with the law of the State of Delaware.</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36.</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WAIVER OF JURY TRIAL.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ward to binding arbitration or as limiting the ability of the Company to require any individual to agree to submit such disputes to binding arbitration as a condition of receiving an award hereunder.</w:t>
      </w:r>
    </w:p>
    <w:p>
      <w:pPr>
        <w:pStyle w:val="TextBody"/>
        <w:bidi w:val="0"/>
        <w:spacing w:before="0" w:after="240"/>
        <w:jc w:val="both"/>
        <w:rPr>
          <w:rFonts w:ascii="Times New Roman" w:hAnsi="Times New Roman"/>
          <w:caps/>
          <w:color w:val="000000"/>
          <w:sz w:val="22"/>
        </w:rPr>
      </w:pPr>
      <w:r>
        <w:rPr>
          <w:rFonts w:ascii="Times New Roman" w:hAnsi="Times New Roman"/>
          <w:caps/>
          <w:color w:val="000000"/>
          <w:sz w:val="22"/>
        </w:rPr>
        <w:t>37.</w:t>
      </w:r>
    </w:p>
    <w:p>
      <w:pPr>
        <w:pStyle w:val="TextBody"/>
        <w:bidi w:val="0"/>
        <w:spacing w:before="0" w:after="240"/>
        <w:jc w:val="both"/>
        <w:rPr>
          <w:rFonts w:ascii="Times New Roman" w:hAnsi="Times New Roman"/>
          <w:caps/>
          <w:color w:val="000000"/>
          <w:sz w:val="22"/>
          <w:u w:val="single"/>
        </w:rPr>
      </w:pPr>
      <w:r>
        <w:rPr>
          <w:rFonts w:ascii="Times New Roman" w:hAnsi="Times New Roman"/>
          <w:caps/>
          <w:color w:val="000000"/>
          <w:sz w:val="22"/>
          <w:u w:val="single"/>
        </w:rPr>
        <w:t xml:space="preserve">UNFUNDED OBLIGATIONS. </w:t>
      </w:r>
    </w:p>
    <w:p>
      <w:pPr>
        <w:pStyle w:val="TextBody"/>
        <w:bidi w:val="0"/>
        <w:spacing w:before="0" w:after="240"/>
        <w:jc w:val="both"/>
        <w:rPr>
          <w:rFonts w:ascii="Times New Roman" w:hAnsi="Times New Roman"/>
          <w:sz w:val="20"/>
        </w:rPr>
      </w:pPr>
      <w:r>
        <w:rPr>
          <w:rFonts w:ascii="Times New Roman" w:hAnsi="Times New Roman"/>
          <w:color w:val="000000"/>
          <w:sz w:val="22"/>
        </w:rPr>
        <w:t>The Company’s obligations under the Plan are unfunded, and no Participant will have any right to specific assets of the Company in respect of any award under the Plan. Participants will be general unsecured creditors of the Company with respect to any amounts due or payable under the Plan.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12377</Words>
  <Characters>63531</Characters>
  <CharactersWithSpaces>75672</CharactersWithSpaces>
  <Paragraphs>566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